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138CD" w14:textId="77777777" w:rsidR="00A622BB" w:rsidRPr="006B4B9C" w:rsidRDefault="00A622BB" w:rsidP="00A622BB">
      <w:pPr>
        <w:tabs>
          <w:tab w:val="clear" w:pos="567"/>
        </w:tabs>
        <w:spacing w:line="240" w:lineRule="auto"/>
        <w:ind w:right="113"/>
        <w:jc w:val="center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LIETOŠANAS INSTRUKCIJA</w:t>
      </w:r>
    </w:p>
    <w:p w14:paraId="7F3CC8F7" w14:textId="77777777" w:rsidR="00A622BB" w:rsidRPr="006B4B9C" w:rsidRDefault="00A622BB" w:rsidP="00A622BB">
      <w:pPr>
        <w:tabs>
          <w:tab w:val="left" w:pos="426"/>
        </w:tabs>
        <w:ind w:left="426" w:hanging="400"/>
        <w:jc w:val="center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V/NRP/00/1250</w:t>
      </w:r>
    </w:p>
    <w:p w14:paraId="59F6AA48" w14:textId="77777777" w:rsidR="00A622BB" w:rsidRPr="006B4B9C" w:rsidRDefault="00A622BB" w:rsidP="00A622BB">
      <w:pPr>
        <w:tabs>
          <w:tab w:val="clear" w:pos="567"/>
        </w:tabs>
        <w:spacing w:line="240" w:lineRule="auto"/>
        <w:ind w:right="113"/>
        <w:jc w:val="center"/>
        <w:rPr>
          <w:color w:val="000000"/>
          <w:szCs w:val="22"/>
          <w:lang w:val="lv-LV"/>
        </w:rPr>
      </w:pPr>
    </w:p>
    <w:p w14:paraId="66EF846A" w14:textId="77777777" w:rsidR="00A622BB" w:rsidRPr="006B4B9C" w:rsidRDefault="00A622BB" w:rsidP="00A622BB">
      <w:pPr>
        <w:tabs>
          <w:tab w:val="clear" w:pos="567"/>
          <w:tab w:val="left" w:pos="426"/>
          <w:tab w:val="left" w:pos="546"/>
          <w:tab w:val="left" w:pos="2268"/>
          <w:tab w:val="left" w:pos="5096"/>
          <w:tab w:val="left" w:pos="6370"/>
        </w:tabs>
        <w:ind w:left="426" w:hanging="400"/>
        <w:jc w:val="center"/>
        <w:rPr>
          <w:szCs w:val="22"/>
          <w:lang w:val="lv-LV"/>
        </w:rPr>
      </w:pPr>
      <w:bookmarkStart w:id="0" w:name="_GoBack"/>
      <w:r w:rsidRPr="006B4B9C">
        <w:rPr>
          <w:b/>
          <w:szCs w:val="22"/>
          <w:lang w:val="lv-LV"/>
        </w:rPr>
        <w:t>Calciveyxol 38</w:t>
      </w:r>
      <w:r w:rsidRPr="006B4B9C">
        <w:rPr>
          <w:szCs w:val="22"/>
          <w:lang w:val="lv-LV"/>
        </w:rPr>
        <w:t xml:space="preserve"> </w:t>
      </w:r>
      <w:bookmarkEnd w:id="0"/>
      <w:r w:rsidRPr="006B4B9C">
        <w:rPr>
          <w:szCs w:val="22"/>
          <w:lang w:val="lv-LV"/>
        </w:rPr>
        <w:t>šķīdums infūzijām liellopiem, cūkām un aitām</w:t>
      </w:r>
    </w:p>
    <w:p w14:paraId="0DB7C4CE" w14:textId="77777777" w:rsidR="00A622BB" w:rsidRPr="006B4B9C" w:rsidRDefault="00A622BB" w:rsidP="00A622BB">
      <w:pPr>
        <w:tabs>
          <w:tab w:val="clear" w:pos="567"/>
          <w:tab w:val="left" w:pos="426"/>
          <w:tab w:val="left" w:pos="546"/>
          <w:tab w:val="left" w:pos="2268"/>
          <w:tab w:val="left" w:pos="5096"/>
          <w:tab w:val="left" w:pos="6370"/>
        </w:tabs>
        <w:ind w:left="426" w:hanging="400"/>
        <w:rPr>
          <w:b/>
          <w:szCs w:val="22"/>
          <w:lang w:val="lv-LV"/>
        </w:rPr>
      </w:pPr>
    </w:p>
    <w:p w14:paraId="2645BCB2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</w:p>
    <w:p w14:paraId="5C64C218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1.</w:t>
      </w:r>
      <w:r w:rsidRPr="006B4B9C">
        <w:rPr>
          <w:b/>
          <w:color w:val="000000"/>
          <w:szCs w:val="22"/>
          <w:lang w:val="lv-LV"/>
        </w:rPr>
        <w:tab/>
        <w:t>REĢISTRĀCIJAS APLIECĪBAS ĪPAŠNIEKA UN RAŽOŠANAS LICENCES TURĒTĀJA, KURŠ ATBILD PAR SĒRIJAS IZLAIDI, NOSAUKUMS UN ADRESE, JA DAŽĀDI</w:t>
      </w:r>
    </w:p>
    <w:p w14:paraId="2076ECDC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0D697B1B" w14:textId="6737B4EA" w:rsidR="00A622BB" w:rsidRPr="006B4B9C" w:rsidRDefault="00A622BB" w:rsidP="00A622BB">
      <w:pPr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u w:val="single"/>
          <w:lang w:val="lv-LV"/>
        </w:rPr>
        <w:t xml:space="preserve">Reģistrācijas apliecības </w:t>
      </w:r>
      <w:r w:rsidR="00CC17D2" w:rsidRPr="006B4B9C">
        <w:rPr>
          <w:color w:val="000000"/>
          <w:szCs w:val="22"/>
          <w:u w:val="single"/>
          <w:lang w:val="lv-LV"/>
        </w:rPr>
        <w:t xml:space="preserve">īpašnieks </w:t>
      </w:r>
      <w:r w:rsidR="002438ED" w:rsidRPr="006B4B9C">
        <w:rPr>
          <w:color w:val="000000"/>
          <w:szCs w:val="22"/>
          <w:u w:val="single"/>
          <w:lang w:val="lv-LV"/>
        </w:rPr>
        <w:t>un par sērijas izlaidi atbildīgais ražotājs</w:t>
      </w:r>
      <w:r w:rsidRPr="006B4B9C">
        <w:rPr>
          <w:color w:val="000000"/>
          <w:szCs w:val="22"/>
          <w:u w:val="single"/>
          <w:lang w:val="lv-LV"/>
        </w:rPr>
        <w:t>:</w:t>
      </w:r>
    </w:p>
    <w:p w14:paraId="1C5DD335" w14:textId="77777777" w:rsidR="00A622BB" w:rsidRPr="006B4B9C" w:rsidRDefault="00A622BB" w:rsidP="00A622BB">
      <w:pPr>
        <w:tabs>
          <w:tab w:val="clear" w:pos="567"/>
          <w:tab w:val="left" w:pos="572"/>
        </w:tabs>
        <w:rPr>
          <w:szCs w:val="22"/>
          <w:lang w:val="lv-LV"/>
        </w:rPr>
      </w:pPr>
      <w:r w:rsidRPr="006B4B9C">
        <w:rPr>
          <w:szCs w:val="22"/>
          <w:lang w:val="lv-LV"/>
        </w:rPr>
        <w:t>Veyx-Pharma GmbH</w:t>
      </w:r>
    </w:p>
    <w:p w14:paraId="567C55EB" w14:textId="77777777" w:rsidR="00A622BB" w:rsidRPr="006B4B9C" w:rsidRDefault="00A622BB" w:rsidP="00A622BB">
      <w:pPr>
        <w:pStyle w:val="BodyText"/>
        <w:tabs>
          <w:tab w:val="left" w:pos="572"/>
        </w:tabs>
        <w:rPr>
          <w:szCs w:val="22"/>
          <w:lang w:val="lv-LV"/>
        </w:rPr>
      </w:pPr>
      <w:r w:rsidRPr="006B4B9C">
        <w:rPr>
          <w:szCs w:val="22"/>
          <w:lang w:val="lv-LV"/>
        </w:rPr>
        <w:t>Söhreweg 6</w:t>
      </w:r>
    </w:p>
    <w:p w14:paraId="7AF90504" w14:textId="77777777" w:rsidR="00A622BB" w:rsidRPr="006B4B9C" w:rsidRDefault="00A622BB" w:rsidP="00A622BB">
      <w:pPr>
        <w:tabs>
          <w:tab w:val="clear" w:pos="567"/>
          <w:tab w:val="left" w:pos="572"/>
        </w:tabs>
        <w:rPr>
          <w:szCs w:val="22"/>
          <w:lang w:val="lv-LV"/>
        </w:rPr>
      </w:pPr>
      <w:r w:rsidRPr="006B4B9C">
        <w:rPr>
          <w:szCs w:val="22"/>
          <w:lang w:val="lv-LV"/>
        </w:rPr>
        <w:t>34639 Schwarzenborn</w:t>
      </w:r>
    </w:p>
    <w:p w14:paraId="3E4252D4" w14:textId="77777777" w:rsidR="00A622BB" w:rsidRPr="006B4B9C" w:rsidRDefault="00A622BB" w:rsidP="00A622BB">
      <w:pPr>
        <w:tabs>
          <w:tab w:val="clear" w:pos="567"/>
          <w:tab w:val="left" w:pos="572"/>
        </w:tabs>
        <w:rPr>
          <w:szCs w:val="22"/>
          <w:lang w:val="lv-LV"/>
        </w:rPr>
      </w:pPr>
      <w:r w:rsidRPr="006B4B9C">
        <w:rPr>
          <w:szCs w:val="22"/>
          <w:lang w:val="lv-LV"/>
        </w:rPr>
        <w:t>Vācija</w:t>
      </w:r>
    </w:p>
    <w:p w14:paraId="117069E8" w14:textId="4C96FDE3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5796C667" w14:textId="77777777" w:rsidR="00CC17D2" w:rsidRPr="006B4B9C" w:rsidRDefault="00CC17D2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209BA96C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2.</w:t>
      </w:r>
      <w:r w:rsidRPr="006B4B9C">
        <w:rPr>
          <w:b/>
          <w:color w:val="000000"/>
          <w:szCs w:val="22"/>
          <w:lang w:val="lv-LV"/>
        </w:rPr>
        <w:tab/>
        <w:t xml:space="preserve">VETERINĀRO ZĀĻU NOSAUKUMS  </w:t>
      </w:r>
    </w:p>
    <w:p w14:paraId="0EBF5A4C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5DF7C2B7" w14:textId="5F24701D" w:rsidR="00A622BB" w:rsidRPr="006B4B9C" w:rsidRDefault="00A622BB" w:rsidP="00A622BB">
      <w:pPr>
        <w:tabs>
          <w:tab w:val="clear" w:pos="567"/>
          <w:tab w:val="left" w:pos="426"/>
          <w:tab w:val="left" w:pos="546"/>
          <w:tab w:val="left" w:pos="2268"/>
          <w:tab w:val="left" w:pos="5096"/>
          <w:tab w:val="left" w:pos="6370"/>
        </w:tabs>
        <w:ind w:left="426" w:hanging="400"/>
        <w:rPr>
          <w:szCs w:val="22"/>
          <w:lang w:val="lv-LV"/>
        </w:rPr>
      </w:pPr>
      <w:proofErr w:type="spellStart"/>
      <w:r w:rsidRPr="006B4B9C">
        <w:rPr>
          <w:b/>
          <w:szCs w:val="22"/>
          <w:lang w:val="lv-LV"/>
        </w:rPr>
        <w:t>Calciveyxol</w:t>
      </w:r>
      <w:proofErr w:type="spellEnd"/>
      <w:r w:rsidRPr="006B4B9C">
        <w:rPr>
          <w:b/>
          <w:szCs w:val="22"/>
          <w:lang w:val="lv-LV"/>
        </w:rPr>
        <w:t xml:space="preserve"> 38</w:t>
      </w:r>
      <w:r w:rsidRPr="006B4B9C">
        <w:rPr>
          <w:szCs w:val="22"/>
          <w:lang w:val="lv-LV"/>
        </w:rPr>
        <w:t xml:space="preserve"> šķīdums infūzijām liellopiem, cūkām un aitām</w:t>
      </w:r>
    </w:p>
    <w:p w14:paraId="04F5CDA9" w14:textId="77777777" w:rsidR="00A622BB" w:rsidRPr="006B4B9C" w:rsidRDefault="00A622BB" w:rsidP="00A622BB">
      <w:pPr>
        <w:tabs>
          <w:tab w:val="clear" w:pos="567"/>
          <w:tab w:val="left" w:pos="426"/>
          <w:tab w:val="left" w:pos="546"/>
          <w:tab w:val="left" w:pos="2268"/>
          <w:tab w:val="left" w:pos="5096"/>
          <w:tab w:val="left" w:pos="6370"/>
        </w:tabs>
        <w:ind w:left="426" w:hanging="400"/>
        <w:rPr>
          <w:b/>
          <w:szCs w:val="22"/>
          <w:lang w:val="lv-LV"/>
        </w:rPr>
      </w:pPr>
    </w:p>
    <w:p w14:paraId="64DF8470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6DE8B7CB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3.</w:t>
      </w:r>
      <w:r w:rsidRPr="006B4B9C">
        <w:rPr>
          <w:b/>
          <w:color w:val="000000"/>
          <w:szCs w:val="22"/>
          <w:lang w:val="lv-LV"/>
        </w:rPr>
        <w:tab/>
        <w:t xml:space="preserve">AKTĪVOVIELU UN CITU VIELU DAUDZUMS </w:t>
      </w:r>
    </w:p>
    <w:p w14:paraId="13DFD14C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0C6D0F7A" w14:textId="70B267DD" w:rsidR="00A622BB" w:rsidRPr="00ED2A92" w:rsidRDefault="001C38DD" w:rsidP="00A622BB">
      <w:pPr>
        <w:tabs>
          <w:tab w:val="clear" w:pos="567"/>
          <w:tab w:val="left" w:pos="546"/>
          <w:tab w:val="left" w:pos="2268"/>
          <w:tab w:val="left" w:pos="5103"/>
          <w:tab w:val="left" w:pos="5387"/>
        </w:tabs>
        <w:ind w:left="26"/>
        <w:rPr>
          <w:color w:val="000000"/>
          <w:szCs w:val="22"/>
          <w:lang w:val="lv-LV"/>
        </w:rPr>
      </w:pPr>
      <w:r w:rsidRPr="00ED2A92">
        <w:rPr>
          <w:color w:val="000000"/>
          <w:szCs w:val="22"/>
          <w:lang w:val="lv-LV"/>
        </w:rPr>
        <w:t xml:space="preserve">Viens </w:t>
      </w:r>
      <w:r w:rsidR="00A622BB" w:rsidRPr="00ED2A92">
        <w:rPr>
          <w:color w:val="000000"/>
          <w:szCs w:val="22"/>
          <w:lang w:val="lv-LV"/>
        </w:rPr>
        <w:t>ml satur</w:t>
      </w:r>
      <w:r w:rsidR="00CC17D2" w:rsidRPr="00ED2A92">
        <w:rPr>
          <w:color w:val="000000"/>
          <w:szCs w:val="22"/>
          <w:lang w:val="lv-LV"/>
        </w:rPr>
        <w:t> :</w:t>
      </w:r>
    </w:p>
    <w:p w14:paraId="4EF77E02" w14:textId="77777777" w:rsidR="00A622BB" w:rsidRPr="006B4B9C" w:rsidRDefault="00A622BB" w:rsidP="00A622BB">
      <w:pPr>
        <w:tabs>
          <w:tab w:val="clear" w:pos="567"/>
          <w:tab w:val="left" w:pos="546"/>
          <w:tab w:val="left" w:pos="2268"/>
          <w:tab w:val="left" w:pos="5103"/>
          <w:tab w:val="left" w:pos="5387"/>
        </w:tabs>
        <w:ind w:left="26"/>
        <w:rPr>
          <w:b/>
          <w:bCs/>
          <w:color w:val="000000"/>
          <w:szCs w:val="22"/>
          <w:lang w:val="lv-LV"/>
        </w:rPr>
      </w:pPr>
      <w:r w:rsidRPr="006B4B9C">
        <w:rPr>
          <w:b/>
          <w:bCs/>
          <w:color w:val="000000"/>
          <w:szCs w:val="22"/>
          <w:lang w:val="lv-LV"/>
        </w:rPr>
        <w:t>Aktīvās vielas:</w:t>
      </w:r>
    </w:p>
    <w:p w14:paraId="07A9DF88" w14:textId="074784B2" w:rsidR="00A622BB" w:rsidRPr="006B4B9C" w:rsidRDefault="00A622BB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 xml:space="preserve">Kalcija </w:t>
      </w:r>
      <w:proofErr w:type="spellStart"/>
      <w:r w:rsidRPr="006B4B9C">
        <w:rPr>
          <w:color w:val="000000"/>
          <w:szCs w:val="22"/>
          <w:lang w:val="lv-LV"/>
        </w:rPr>
        <w:t>gl</w:t>
      </w:r>
      <w:r w:rsidR="00CC17D2" w:rsidRPr="006B4B9C">
        <w:rPr>
          <w:color w:val="000000"/>
          <w:szCs w:val="22"/>
          <w:lang w:val="lv-LV"/>
        </w:rPr>
        <w:t>i</w:t>
      </w:r>
      <w:r w:rsidRPr="006B4B9C">
        <w:rPr>
          <w:color w:val="000000"/>
          <w:szCs w:val="22"/>
          <w:lang w:val="lv-LV"/>
        </w:rPr>
        <w:t>konāta</w:t>
      </w:r>
      <w:proofErr w:type="spellEnd"/>
      <w:r w:rsidRPr="006B4B9C">
        <w:rPr>
          <w:color w:val="000000"/>
          <w:szCs w:val="22"/>
          <w:lang w:val="lv-LV"/>
        </w:rPr>
        <w:t xml:space="preserve"> monohidrāts</w:t>
      </w:r>
      <w:r w:rsidRPr="006B4B9C">
        <w:rPr>
          <w:color w:val="000000"/>
          <w:szCs w:val="22"/>
          <w:lang w:val="lv-LV"/>
        </w:rPr>
        <w:tab/>
      </w:r>
      <w:r w:rsidRPr="006B4B9C">
        <w:rPr>
          <w:color w:val="000000"/>
          <w:szCs w:val="22"/>
          <w:lang w:val="lv-LV"/>
        </w:rPr>
        <w:tab/>
      </w:r>
      <w:r w:rsidRPr="006B4B9C">
        <w:rPr>
          <w:color w:val="000000"/>
          <w:szCs w:val="22"/>
          <w:lang w:val="lv-LV"/>
        </w:rPr>
        <w:tab/>
        <w:t>380</w:t>
      </w:r>
      <w:r w:rsidR="001C38DD" w:rsidRPr="006B4B9C">
        <w:rPr>
          <w:color w:val="000000"/>
          <w:szCs w:val="22"/>
          <w:lang w:val="lv-LV"/>
        </w:rPr>
        <w:t>,</w:t>
      </w:r>
      <w:r w:rsidRPr="006B4B9C">
        <w:rPr>
          <w:color w:val="000000"/>
          <w:szCs w:val="22"/>
          <w:lang w:val="lv-LV"/>
        </w:rPr>
        <w:t>00 mg</w:t>
      </w:r>
    </w:p>
    <w:p w14:paraId="1AF11EDA" w14:textId="5DBA5A6F" w:rsidR="00A622BB" w:rsidRPr="006B4B9C" w:rsidRDefault="00A622BB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>(</w:t>
      </w:r>
      <w:r w:rsidR="00CC17D2" w:rsidRPr="006B4B9C">
        <w:rPr>
          <w:color w:val="000000"/>
          <w:szCs w:val="22"/>
          <w:lang w:val="lv-LV"/>
        </w:rPr>
        <w:t xml:space="preserve">atbilst </w:t>
      </w:r>
      <w:r w:rsidRPr="006B4B9C">
        <w:rPr>
          <w:color w:val="000000"/>
          <w:szCs w:val="22"/>
          <w:lang w:val="lv-LV"/>
        </w:rPr>
        <w:t>Ca</w:t>
      </w:r>
      <w:r w:rsidRPr="006B4B9C">
        <w:rPr>
          <w:color w:val="000000"/>
          <w:szCs w:val="22"/>
          <w:vertAlign w:val="superscript"/>
          <w:lang w:val="lv-LV"/>
        </w:rPr>
        <w:t>2+</w:t>
      </w:r>
      <w:r w:rsidRPr="006B4B9C">
        <w:rPr>
          <w:color w:val="000000"/>
          <w:szCs w:val="22"/>
          <w:lang w:val="lv-LV"/>
        </w:rPr>
        <w:t>: 34</w:t>
      </w:r>
      <w:r w:rsidR="001C38DD" w:rsidRPr="006B4B9C">
        <w:rPr>
          <w:color w:val="000000"/>
          <w:szCs w:val="22"/>
          <w:lang w:val="lv-LV"/>
        </w:rPr>
        <w:t>,</w:t>
      </w:r>
      <w:r w:rsidRPr="006B4B9C">
        <w:rPr>
          <w:color w:val="000000"/>
          <w:szCs w:val="22"/>
          <w:lang w:val="lv-LV"/>
        </w:rPr>
        <w:t>0 mg vai 0</w:t>
      </w:r>
      <w:r w:rsidR="001C38DD" w:rsidRPr="006B4B9C">
        <w:rPr>
          <w:color w:val="000000"/>
          <w:szCs w:val="22"/>
          <w:lang w:val="lv-LV"/>
        </w:rPr>
        <w:t>,</w:t>
      </w:r>
      <w:r w:rsidRPr="006B4B9C">
        <w:rPr>
          <w:color w:val="000000"/>
          <w:szCs w:val="22"/>
          <w:lang w:val="lv-LV"/>
        </w:rPr>
        <w:t>85 mmol)</w:t>
      </w:r>
    </w:p>
    <w:p w14:paraId="2F395EBF" w14:textId="77777777" w:rsidR="00A622BB" w:rsidRPr="006B4B9C" w:rsidRDefault="00A622BB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>Magnija hlorīda heksahidrāts</w:t>
      </w:r>
      <w:r w:rsidRPr="006B4B9C">
        <w:rPr>
          <w:color w:val="000000"/>
          <w:szCs w:val="22"/>
          <w:lang w:val="lv-LV"/>
        </w:rPr>
        <w:tab/>
      </w:r>
      <w:r w:rsidRPr="006B4B9C">
        <w:rPr>
          <w:color w:val="000000"/>
          <w:szCs w:val="22"/>
          <w:lang w:val="lv-LV"/>
        </w:rPr>
        <w:tab/>
      </w:r>
      <w:r w:rsidRPr="006B4B9C">
        <w:rPr>
          <w:color w:val="000000"/>
          <w:szCs w:val="22"/>
          <w:lang w:val="lv-LV"/>
        </w:rPr>
        <w:tab/>
        <w:t>60</w:t>
      </w:r>
      <w:r w:rsidR="001C38DD" w:rsidRPr="006B4B9C">
        <w:rPr>
          <w:color w:val="000000"/>
          <w:szCs w:val="22"/>
          <w:lang w:val="lv-LV"/>
        </w:rPr>
        <w:t>,</w:t>
      </w:r>
      <w:r w:rsidRPr="006B4B9C">
        <w:rPr>
          <w:color w:val="000000"/>
          <w:szCs w:val="22"/>
          <w:lang w:val="lv-LV"/>
        </w:rPr>
        <w:t>00 mg</w:t>
      </w:r>
    </w:p>
    <w:p w14:paraId="46F49F27" w14:textId="512C2FE3" w:rsidR="00A622BB" w:rsidRPr="006B4B9C" w:rsidRDefault="00A622BB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>(</w:t>
      </w:r>
      <w:r w:rsidR="00CC17D2" w:rsidRPr="006B4B9C">
        <w:rPr>
          <w:color w:val="000000"/>
          <w:szCs w:val="22"/>
          <w:lang w:val="lv-LV"/>
        </w:rPr>
        <w:t xml:space="preserve">atbilst </w:t>
      </w:r>
      <w:r w:rsidRPr="006B4B9C">
        <w:rPr>
          <w:color w:val="000000"/>
          <w:szCs w:val="22"/>
          <w:lang w:val="lv-LV"/>
        </w:rPr>
        <w:t>Mg</w:t>
      </w:r>
      <w:r w:rsidRPr="006B4B9C">
        <w:rPr>
          <w:color w:val="000000"/>
          <w:szCs w:val="22"/>
          <w:vertAlign w:val="superscript"/>
          <w:lang w:val="lv-LV"/>
        </w:rPr>
        <w:t>2+</w:t>
      </w:r>
      <w:r w:rsidRPr="006B4B9C">
        <w:rPr>
          <w:color w:val="000000"/>
          <w:szCs w:val="22"/>
          <w:lang w:val="lv-LV"/>
        </w:rPr>
        <w:t>: 7</w:t>
      </w:r>
      <w:r w:rsidR="001C38DD" w:rsidRPr="006B4B9C">
        <w:rPr>
          <w:color w:val="000000"/>
          <w:szCs w:val="22"/>
          <w:lang w:val="lv-LV"/>
        </w:rPr>
        <w:t>,</w:t>
      </w:r>
      <w:r w:rsidRPr="006B4B9C">
        <w:rPr>
          <w:color w:val="000000"/>
          <w:szCs w:val="22"/>
          <w:lang w:val="lv-LV"/>
        </w:rPr>
        <w:t>2 mg vai 0</w:t>
      </w:r>
      <w:r w:rsidR="001C38DD" w:rsidRPr="006B4B9C">
        <w:rPr>
          <w:color w:val="000000"/>
          <w:szCs w:val="22"/>
          <w:lang w:val="lv-LV"/>
        </w:rPr>
        <w:t>,</w:t>
      </w:r>
      <w:r w:rsidRPr="006B4B9C">
        <w:rPr>
          <w:color w:val="000000"/>
          <w:szCs w:val="22"/>
          <w:lang w:val="lv-LV"/>
        </w:rPr>
        <w:t>30 mmol)</w:t>
      </w:r>
    </w:p>
    <w:p w14:paraId="318A65DF" w14:textId="52947BBA" w:rsidR="00A622BB" w:rsidRPr="006B4B9C" w:rsidRDefault="00A622BB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>Borskābe</w:t>
      </w:r>
      <w:r w:rsidR="00CC17D2" w:rsidRPr="006B4B9C">
        <w:rPr>
          <w:color w:val="000000"/>
          <w:szCs w:val="22"/>
          <w:lang w:val="lv-LV"/>
        </w:rPr>
        <w:tab/>
      </w:r>
      <w:r w:rsidR="00CC17D2" w:rsidRPr="006B4B9C">
        <w:rPr>
          <w:color w:val="000000"/>
          <w:szCs w:val="22"/>
          <w:lang w:val="lv-LV"/>
        </w:rPr>
        <w:tab/>
      </w:r>
      <w:r w:rsidR="00CC17D2" w:rsidRPr="006B4B9C">
        <w:rPr>
          <w:color w:val="000000"/>
          <w:szCs w:val="22"/>
          <w:lang w:val="lv-LV"/>
        </w:rPr>
        <w:tab/>
        <w:t>50,00 mg</w:t>
      </w:r>
    </w:p>
    <w:p w14:paraId="6AEFA1EE" w14:textId="77777777" w:rsidR="00CC17D2" w:rsidRPr="006B4B9C" w:rsidRDefault="00CC17D2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</w:p>
    <w:p w14:paraId="265ADABB" w14:textId="4E8E6737" w:rsidR="00CC17D2" w:rsidRPr="006B4B9C" w:rsidRDefault="00CC17D2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szCs w:val="22"/>
          <w:lang w:val="lv-LV"/>
        </w:rPr>
        <w:t>Caurspīdīgs šķīdums.</w:t>
      </w:r>
    </w:p>
    <w:p w14:paraId="2572F986" w14:textId="00E58CBD" w:rsidR="00A622BB" w:rsidRPr="006B4B9C" w:rsidRDefault="00A622BB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ab/>
      </w:r>
    </w:p>
    <w:p w14:paraId="1FD0487F" w14:textId="77777777" w:rsidR="00CC17D2" w:rsidRPr="006B4B9C" w:rsidRDefault="00CC17D2" w:rsidP="00A622BB">
      <w:pPr>
        <w:tabs>
          <w:tab w:val="clear" w:pos="567"/>
          <w:tab w:val="left" w:pos="546"/>
          <w:tab w:val="left" w:pos="3770"/>
          <w:tab w:val="left" w:pos="5122"/>
          <w:tab w:val="right" w:pos="6916"/>
        </w:tabs>
        <w:rPr>
          <w:szCs w:val="22"/>
          <w:lang w:val="lv-LV"/>
        </w:rPr>
      </w:pPr>
    </w:p>
    <w:p w14:paraId="46DB5788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4.</w:t>
      </w:r>
      <w:r w:rsidRPr="006B4B9C">
        <w:rPr>
          <w:b/>
          <w:color w:val="000000"/>
          <w:szCs w:val="22"/>
          <w:lang w:val="lv-LV"/>
        </w:rPr>
        <w:tab/>
        <w:t>INDIKĀCIJA(</w:t>
      </w:r>
      <w:r w:rsidR="001C38DD" w:rsidRPr="006B4B9C">
        <w:rPr>
          <w:b/>
          <w:color w:val="000000"/>
          <w:szCs w:val="22"/>
          <w:lang w:val="lv-LV"/>
        </w:rPr>
        <w:t>-S</w:t>
      </w:r>
      <w:r w:rsidRPr="006B4B9C">
        <w:rPr>
          <w:b/>
          <w:color w:val="000000"/>
          <w:szCs w:val="22"/>
          <w:lang w:val="lv-LV"/>
        </w:rPr>
        <w:t>)</w:t>
      </w:r>
    </w:p>
    <w:p w14:paraId="67B9CBAE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5DC7B2CB" w14:textId="68552672" w:rsidR="00A622BB" w:rsidRPr="006B4B9C" w:rsidRDefault="00A622BB" w:rsidP="00A622BB">
      <w:pPr>
        <w:tabs>
          <w:tab w:val="clear" w:pos="567"/>
          <w:tab w:val="left" w:pos="572"/>
        </w:tabs>
        <w:ind w:left="26"/>
        <w:rPr>
          <w:color w:val="000000"/>
          <w:szCs w:val="22"/>
          <w:u w:val="single"/>
          <w:lang w:val="lv-LV"/>
        </w:rPr>
      </w:pPr>
      <w:r w:rsidRPr="006B4B9C">
        <w:rPr>
          <w:bCs/>
          <w:color w:val="000000"/>
          <w:szCs w:val="22"/>
          <w:u w:val="single"/>
          <w:lang w:val="lv-LV"/>
        </w:rPr>
        <w:t>Liellopi</w:t>
      </w:r>
      <w:r w:rsidR="006B4B9C" w:rsidRPr="006B4B9C">
        <w:rPr>
          <w:bCs/>
          <w:color w:val="000000"/>
          <w:szCs w:val="22"/>
          <w:u w:val="single"/>
          <w:lang w:val="lv-LV"/>
        </w:rPr>
        <w:t>em</w:t>
      </w:r>
      <w:r w:rsidRPr="006B4B9C">
        <w:rPr>
          <w:bCs/>
          <w:szCs w:val="22"/>
          <w:u w:val="single"/>
          <w:lang w:val="lv-LV"/>
        </w:rPr>
        <w:t>, teļi</w:t>
      </w:r>
      <w:r w:rsidR="006B4B9C" w:rsidRPr="006B4B9C">
        <w:rPr>
          <w:bCs/>
          <w:szCs w:val="22"/>
          <w:u w:val="single"/>
          <w:lang w:val="lv-LV"/>
        </w:rPr>
        <w:t>em</w:t>
      </w:r>
      <w:r w:rsidRPr="006B4B9C">
        <w:rPr>
          <w:bCs/>
          <w:szCs w:val="22"/>
          <w:u w:val="single"/>
          <w:lang w:val="lv-LV"/>
        </w:rPr>
        <w:t>, cūk</w:t>
      </w:r>
      <w:r w:rsidR="006B4B9C" w:rsidRPr="006B4B9C">
        <w:rPr>
          <w:bCs/>
          <w:szCs w:val="22"/>
          <w:u w:val="single"/>
          <w:lang w:val="lv-LV"/>
        </w:rPr>
        <w:t>ām</w:t>
      </w:r>
      <w:r w:rsidRPr="006B4B9C">
        <w:rPr>
          <w:bCs/>
          <w:szCs w:val="22"/>
          <w:u w:val="single"/>
          <w:lang w:val="lv-LV"/>
        </w:rPr>
        <w:t xml:space="preserve"> un ait</w:t>
      </w:r>
      <w:r w:rsidR="006B4B9C" w:rsidRPr="006B4B9C">
        <w:rPr>
          <w:bCs/>
          <w:szCs w:val="22"/>
          <w:u w:val="single"/>
          <w:lang w:val="lv-LV"/>
        </w:rPr>
        <w:t>ām</w:t>
      </w:r>
      <w:r w:rsidRPr="006B4B9C">
        <w:rPr>
          <w:bCs/>
          <w:szCs w:val="22"/>
          <w:u w:val="single"/>
          <w:lang w:val="lv-LV"/>
        </w:rPr>
        <w:t>:</w:t>
      </w:r>
    </w:p>
    <w:p w14:paraId="5122F4C1" w14:textId="77777777" w:rsidR="00A622BB" w:rsidRPr="006B4B9C" w:rsidRDefault="00A622BB" w:rsidP="00A622BB">
      <w:pPr>
        <w:ind w:left="26"/>
        <w:rPr>
          <w:szCs w:val="22"/>
          <w:lang w:val="lv-LV"/>
        </w:rPr>
      </w:pPr>
      <w:r w:rsidRPr="006B4B9C">
        <w:rPr>
          <w:szCs w:val="22"/>
          <w:lang w:val="lv-LV"/>
        </w:rPr>
        <w:t>Akūts hipokalcēmijas stāvoklis.</w:t>
      </w:r>
      <w:r w:rsidR="001C38DD" w:rsidRPr="006B4B9C">
        <w:rPr>
          <w:szCs w:val="22"/>
          <w:lang w:val="lv-LV"/>
        </w:rPr>
        <w:t xml:space="preserve"> </w:t>
      </w:r>
      <w:r w:rsidR="00CF0AD2" w:rsidRPr="006B4B9C">
        <w:rPr>
          <w:szCs w:val="22"/>
          <w:lang w:val="lv-LV"/>
        </w:rPr>
        <w:t xml:space="preserve">Var lietot uzturošai </w:t>
      </w:r>
      <w:r w:rsidRPr="006B4B9C">
        <w:rPr>
          <w:szCs w:val="22"/>
          <w:lang w:val="lv-LV"/>
        </w:rPr>
        <w:t>terapija</w:t>
      </w:r>
      <w:r w:rsidR="00CF0AD2" w:rsidRPr="006B4B9C">
        <w:rPr>
          <w:szCs w:val="22"/>
          <w:lang w:val="lv-LV"/>
        </w:rPr>
        <w:t>i</w:t>
      </w:r>
      <w:r w:rsidRPr="006B4B9C">
        <w:rPr>
          <w:szCs w:val="22"/>
          <w:lang w:val="lv-LV"/>
        </w:rPr>
        <w:t xml:space="preserve"> alerģiju, nātrenes, hemorāģiskās diatēzes, vāju dzemdes kontrakciju gadījumā.</w:t>
      </w:r>
    </w:p>
    <w:p w14:paraId="4514763E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3D08F21B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5.</w:t>
      </w:r>
      <w:r w:rsidRPr="006B4B9C">
        <w:rPr>
          <w:b/>
          <w:color w:val="000000"/>
          <w:szCs w:val="22"/>
          <w:lang w:val="lv-LV"/>
        </w:rPr>
        <w:tab/>
        <w:t>KONTRINDIKĀCIJAS</w:t>
      </w:r>
    </w:p>
    <w:p w14:paraId="1B3CB786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03594EA0" w14:textId="2B78A24A" w:rsidR="00786EA7" w:rsidRPr="006B4B9C" w:rsidRDefault="00786EA7" w:rsidP="00A622BB">
      <w:pPr>
        <w:rPr>
          <w:szCs w:val="22"/>
          <w:lang w:val="lv-LV"/>
        </w:rPr>
      </w:pPr>
      <w:r w:rsidRPr="006B4B9C">
        <w:rPr>
          <w:szCs w:val="22"/>
          <w:lang w:val="lv-LV"/>
        </w:rPr>
        <w:t>-</w:t>
      </w:r>
      <w:r w:rsidR="006B4B9C" w:rsidRPr="006B4B9C">
        <w:rPr>
          <w:szCs w:val="22"/>
          <w:lang w:val="lv-LV"/>
        </w:rPr>
        <w:t xml:space="preserve"> </w:t>
      </w:r>
      <w:r w:rsidR="00A622BB" w:rsidRPr="006B4B9C">
        <w:rPr>
          <w:szCs w:val="22"/>
          <w:lang w:val="lv-LV"/>
        </w:rPr>
        <w:t>Hiperkalcēmija un hipermagnēmija</w:t>
      </w:r>
      <w:r w:rsidRPr="006B4B9C">
        <w:rPr>
          <w:szCs w:val="22"/>
          <w:lang w:val="lv-LV"/>
        </w:rPr>
        <w:t>;</w:t>
      </w:r>
    </w:p>
    <w:p w14:paraId="1429F36B" w14:textId="3A6278A2" w:rsidR="00786EA7" w:rsidRPr="006B4B9C" w:rsidRDefault="00786EA7" w:rsidP="00A622BB">
      <w:pPr>
        <w:rPr>
          <w:szCs w:val="22"/>
          <w:lang w:val="lv-LV"/>
        </w:rPr>
      </w:pPr>
      <w:r w:rsidRPr="006B4B9C">
        <w:rPr>
          <w:szCs w:val="22"/>
          <w:lang w:val="lv-LV"/>
        </w:rPr>
        <w:t>-</w:t>
      </w:r>
      <w:r w:rsidR="006B4B9C" w:rsidRPr="006B4B9C">
        <w:rPr>
          <w:szCs w:val="22"/>
          <w:lang w:val="lv-LV"/>
        </w:rPr>
        <w:t xml:space="preserve"> </w:t>
      </w:r>
      <w:r w:rsidRPr="006B4B9C">
        <w:rPr>
          <w:szCs w:val="22"/>
          <w:lang w:val="lv-LV"/>
        </w:rPr>
        <w:t xml:space="preserve">Kalcinoze </w:t>
      </w:r>
      <w:r w:rsidR="00A622BB" w:rsidRPr="006B4B9C">
        <w:rPr>
          <w:szCs w:val="22"/>
          <w:lang w:val="lv-LV"/>
        </w:rPr>
        <w:t xml:space="preserve">liellopiem un aitām; </w:t>
      </w:r>
    </w:p>
    <w:p w14:paraId="286C188E" w14:textId="4C816587" w:rsidR="00786EA7" w:rsidRPr="006B4B9C" w:rsidRDefault="00786EA7" w:rsidP="00A622BB">
      <w:pPr>
        <w:rPr>
          <w:szCs w:val="22"/>
          <w:lang w:val="lv-LV"/>
        </w:rPr>
      </w:pPr>
      <w:r w:rsidRPr="006B4B9C">
        <w:rPr>
          <w:szCs w:val="22"/>
          <w:lang w:val="lv-LV"/>
        </w:rPr>
        <w:t>-</w:t>
      </w:r>
      <w:r w:rsidR="006B4B9C" w:rsidRPr="006B4B9C">
        <w:rPr>
          <w:szCs w:val="22"/>
          <w:lang w:val="lv-LV"/>
        </w:rPr>
        <w:t xml:space="preserve"> </w:t>
      </w:r>
      <w:r w:rsidRPr="006B4B9C">
        <w:rPr>
          <w:szCs w:val="22"/>
          <w:lang w:val="lv-LV"/>
        </w:rPr>
        <w:t>J</w:t>
      </w:r>
      <w:r w:rsidR="00A622BB" w:rsidRPr="006B4B9C">
        <w:rPr>
          <w:szCs w:val="22"/>
          <w:lang w:val="lv-LV"/>
        </w:rPr>
        <w:t>a paralēli tiek lietots D3 vitamīns lielās devās</w:t>
      </w:r>
      <w:r w:rsidRPr="006B4B9C">
        <w:rPr>
          <w:szCs w:val="22"/>
          <w:lang w:val="lv-LV"/>
        </w:rPr>
        <w:t>;</w:t>
      </w:r>
    </w:p>
    <w:p w14:paraId="55F6BA67" w14:textId="5D36F94C" w:rsidR="00786EA7" w:rsidRPr="006B4B9C" w:rsidRDefault="00786EA7" w:rsidP="00A622BB">
      <w:pPr>
        <w:rPr>
          <w:szCs w:val="22"/>
          <w:lang w:val="lv-LV"/>
        </w:rPr>
      </w:pPr>
      <w:r w:rsidRPr="006B4B9C">
        <w:rPr>
          <w:szCs w:val="22"/>
          <w:lang w:val="lv-LV"/>
        </w:rPr>
        <w:t>-</w:t>
      </w:r>
      <w:r w:rsidR="006B4B9C" w:rsidRPr="006B4B9C">
        <w:rPr>
          <w:szCs w:val="22"/>
          <w:lang w:val="lv-LV"/>
        </w:rPr>
        <w:t xml:space="preserve"> </w:t>
      </w:r>
      <w:r w:rsidRPr="006B4B9C">
        <w:rPr>
          <w:szCs w:val="22"/>
          <w:lang w:val="lv-LV"/>
        </w:rPr>
        <w:t xml:space="preserve">Hroniska </w:t>
      </w:r>
      <w:r w:rsidR="00A622BB" w:rsidRPr="006B4B9C">
        <w:rPr>
          <w:szCs w:val="22"/>
          <w:lang w:val="lv-LV"/>
        </w:rPr>
        <w:t>nieru mazspēja</w:t>
      </w:r>
      <w:r w:rsidRPr="006B4B9C">
        <w:rPr>
          <w:szCs w:val="22"/>
          <w:lang w:val="lv-LV"/>
        </w:rPr>
        <w:t>;</w:t>
      </w:r>
    </w:p>
    <w:p w14:paraId="7559F1CF" w14:textId="1C8AFB73" w:rsidR="00A622BB" w:rsidRPr="006B4B9C" w:rsidRDefault="00786EA7" w:rsidP="00A622BB">
      <w:pPr>
        <w:rPr>
          <w:szCs w:val="22"/>
          <w:lang w:val="lv-LV"/>
        </w:rPr>
      </w:pPr>
      <w:r w:rsidRPr="006B4B9C">
        <w:rPr>
          <w:szCs w:val="22"/>
          <w:lang w:val="lv-LV"/>
        </w:rPr>
        <w:t>-</w:t>
      </w:r>
      <w:r w:rsidR="006B4B9C" w:rsidRPr="006B4B9C">
        <w:rPr>
          <w:szCs w:val="22"/>
          <w:lang w:val="lv-LV"/>
        </w:rPr>
        <w:t xml:space="preserve"> </w:t>
      </w:r>
      <w:r w:rsidRPr="006B4B9C">
        <w:rPr>
          <w:szCs w:val="22"/>
          <w:lang w:val="lv-LV"/>
        </w:rPr>
        <w:t>V</w:t>
      </w:r>
      <w:r w:rsidR="00A622BB" w:rsidRPr="006B4B9C">
        <w:rPr>
          <w:szCs w:val="22"/>
          <w:lang w:val="lv-LV"/>
        </w:rPr>
        <w:t>ienlaicīga vai paralēla intravenoza neorganiskā fosfora šķīduma ievadīšana.</w:t>
      </w:r>
    </w:p>
    <w:p w14:paraId="6B53EE21" w14:textId="77777777" w:rsidR="006B4B9C" w:rsidRPr="006B4B9C" w:rsidRDefault="006B4B9C" w:rsidP="006B4B9C">
      <w:pPr>
        <w:tabs>
          <w:tab w:val="left" w:pos="0"/>
        </w:tabs>
        <w:ind w:firstLine="26"/>
        <w:rPr>
          <w:b/>
          <w:color w:val="000000"/>
          <w:szCs w:val="22"/>
          <w:lang w:val="lv-LV"/>
        </w:rPr>
      </w:pPr>
      <w:r w:rsidRPr="006B4B9C">
        <w:rPr>
          <w:szCs w:val="22"/>
          <w:lang w:val="lv-LV"/>
        </w:rPr>
        <w:t>Nelietot gadījumos, ja konstatēta pastiprināta jutība pret aktīvajām vielām vai pret kādu no palīgvielām.</w:t>
      </w:r>
    </w:p>
    <w:p w14:paraId="1ADD3209" w14:textId="77777777" w:rsidR="006B4B9C" w:rsidRPr="006B4B9C" w:rsidRDefault="006B4B9C" w:rsidP="00A622BB">
      <w:pPr>
        <w:rPr>
          <w:b/>
          <w:color w:val="000000"/>
          <w:szCs w:val="22"/>
          <w:lang w:val="lv-LV"/>
        </w:rPr>
      </w:pPr>
    </w:p>
    <w:p w14:paraId="169E7DB9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5949EEDC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6.</w:t>
      </w:r>
      <w:r w:rsidRPr="006B4B9C">
        <w:rPr>
          <w:b/>
          <w:color w:val="000000"/>
          <w:szCs w:val="22"/>
          <w:lang w:val="lv-LV"/>
        </w:rPr>
        <w:tab/>
      </w:r>
      <w:r w:rsidR="001C38DD" w:rsidRPr="006B4B9C">
        <w:rPr>
          <w:b/>
          <w:color w:val="000000"/>
          <w:lang w:val="lv-LV"/>
        </w:rPr>
        <w:t>IESPĒJAMĀS</w:t>
      </w:r>
      <w:r w:rsidRPr="006B4B9C">
        <w:rPr>
          <w:b/>
          <w:color w:val="000000"/>
          <w:szCs w:val="22"/>
          <w:lang w:val="lv-LV"/>
        </w:rPr>
        <w:t xml:space="preserve"> BLAKUSPARĀDĪBAS</w:t>
      </w:r>
    </w:p>
    <w:p w14:paraId="045D40CC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088B818B" w14:textId="77777777" w:rsidR="00A622BB" w:rsidRPr="006B4B9C" w:rsidRDefault="00A622BB" w:rsidP="00A622BB">
      <w:pPr>
        <w:pStyle w:val="BodyText"/>
        <w:tabs>
          <w:tab w:val="left" w:pos="567"/>
        </w:tabs>
        <w:rPr>
          <w:rFonts w:cs="Arial"/>
          <w:bCs/>
          <w:szCs w:val="22"/>
          <w:lang w:val="lv-LV"/>
        </w:rPr>
      </w:pPr>
      <w:r w:rsidRPr="006B4B9C">
        <w:rPr>
          <w:rFonts w:cs="Arial"/>
          <w:bCs/>
          <w:szCs w:val="22"/>
          <w:lang w:val="lv-LV"/>
        </w:rPr>
        <w:t xml:space="preserve">Īslaicīga hiperkalcēmija var rasties </w:t>
      </w:r>
      <w:r w:rsidR="00CF0AD2" w:rsidRPr="006B4B9C">
        <w:rPr>
          <w:rFonts w:cs="Arial"/>
          <w:bCs/>
          <w:szCs w:val="22"/>
          <w:lang w:val="lv-LV"/>
        </w:rPr>
        <w:t xml:space="preserve">pat </w:t>
      </w:r>
      <w:r w:rsidRPr="006B4B9C">
        <w:rPr>
          <w:rFonts w:cs="Arial"/>
          <w:bCs/>
          <w:szCs w:val="22"/>
          <w:lang w:val="lv-LV"/>
        </w:rPr>
        <w:t xml:space="preserve">ievadot terapeitisko devu. </w:t>
      </w:r>
      <w:r w:rsidR="00CF0AD2" w:rsidRPr="006B4B9C">
        <w:rPr>
          <w:rFonts w:cs="Arial"/>
          <w:bCs/>
          <w:szCs w:val="22"/>
          <w:lang w:val="lv-LV"/>
        </w:rPr>
        <w:t>Novērojami sekojoši simptomi</w:t>
      </w:r>
      <w:r w:rsidRPr="006B4B9C">
        <w:rPr>
          <w:rFonts w:cs="Arial"/>
          <w:bCs/>
          <w:szCs w:val="22"/>
          <w:lang w:val="lv-LV"/>
        </w:rPr>
        <w:t>:</w:t>
      </w:r>
    </w:p>
    <w:p w14:paraId="6AF56425" w14:textId="77777777" w:rsidR="00A622BB" w:rsidRPr="006B4B9C" w:rsidRDefault="00A622BB" w:rsidP="00A622BB">
      <w:pPr>
        <w:pStyle w:val="BodyText"/>
        <w:tabs>
          <w:tab w:val="left" w:pos="567"/>
        </w:tabs>
        <w:rPr>
          <w:rFonts w:cs="Arial"/>
          <w:bCs/>
          <w:szCs w:val="22"/>
          <w:lang w:val="lv-LV"/>
        </w:rPr>
      </w:pPr>
      <w:r w:rsidRPr="006B4B9C">
        <w:rPr>
          <w:rFonts w:cs="Arial"/>
          <w:bCs/>
          <w:szCs w:val="22"/>
          <w:lang w:val="lv-LV"/>
        </w:rPr>
        <w:t>- sākumā</w:t>
      </w:r>
      <w:r w:rsidR="006D3DDB" w:rsidRPr="006B4B9C">
        <w:rPr>
          <w:rFonts w:cs="Arial"/>
          <w:bCs/>
          <w:szCs w:val="22"/>
          <w:lang w:val="lv-LV"/>
        </w:rPr>
        <w:t xml:space="preserve"> kā</w:t>
      </w:r>
      <w:r w:rsidRPr="006B4B9C">
        <w:rPr>
          <w:rFonts w:cs="Arial"/>
          <w:bCs/>
          <w:szCs w:val="22"/>
          <w:lang w:val="lv-LV"/>
        </w:rPr>
        <w:t xml:space="preserve"> bradikardija</w:t>
      </w:r>
      <w:r w:rsidR="006D3DDB" w:rsidRPr="006B4B9C">
        <w:rPr>
          <w:rFonts w:cs="Arial"/>
          <w:bCs/>
          <w:szCs w:val="22"/>
          <w:lang w:val="lv-LV"/>
        </w:rPr>
        <w:t>;</w:t>
      </w:r>
    </w:p>
    <w:p w14:paraId="630FD78D" w14:textId="77777777" w:rsidR="00A622BB" w:rsidRPr="006B4B9C" w:rsidRDefault="00A622BB" w:rsidP="00A622BB">
      <w:pPr>
        <w:pStyle w:val="BodyText"/>
        <w:tabs>
          <w:tab w:val="left" w:pos="567"/>
        </w:tabs>
        <w:rPr>
          <w:rFonts w:cs="Arial"/>
          <w:bCs/>
          <w:szCs w:val="22"/>
          <w:lang w:val="lv-LV"/>
        </w:rPr>
      </w:pPr>
      <w:r w:rsidRPr="006B4B9C">
        <w:rPr>
          <w:rFonts w:cs="Arial"/>
          <w:bCs/>
          <w:szCs w:val="22"/>
          <w:lang w:val="lv-LV"/>
        </w:rPr>
        <w:lastRenderedPageBreak/>
        <w:t>- uzbudinājums, muskuļu trīce, siekalošanās;</w:t>
      </w:r>
    </w:p>
    <w:p w14:paraId="71CD1CA7" w14:textId="77777777" w:rsidR="00A622BB" w:rsidRPr="006B4B9C" w:rsidRDefault="00A622BB" w:rsidP="00A622BB">
      <w:pPr>
        <w:pStyle w:val="BodyText"/>
        <w:tabs>
          <w:tab w:val="left" w:pos="567"/>
        </w:tabs>
        <w:rPr>
          <w:rFonts w:cs="Arial"/>
          <w:bCs/>
          <w:szCs w:val="22"/>
          <w:lang w:val="lv-LV"/>
        </w:rPr>
      </w:pPr>
      <w:r w:rsidRPr="006B4B9C">
        <w:rPr>
          <w:rFonts w:cs="Arial"/>
          <w:bCs/>
          <w:szCs w:val="22"/>
          <w:lang w:val="lv-LV"/>
        </w:rPr>
        <w:t>- paātrināta elpošana.</w:t>
      </w:r>
    </w:p>
    <w:p w14:paraId="64D12A1A" w14:textId="77777777" w:rsidR="00A622BB" w:rsidRPr="006B4B9C" w:rsidRDefault="00A622BB" w:rsidP="00A622BB">
      <w:pPr>
        <w:pStyle w:val="BodyText"/>
        <w:tabs>
          <w:tab w:val="left" w:pos="567"/>
        </w:tabs>
        <w:rPr>
          <w:rFonts w:cs="Arial"/>
          <w:bCs/>
          <w:szCs w:val="22"/>
          <w:lang w:val="lv-LV"/>
        </w:rPr>
      </w:pPr>
    </w:p>
    <w:p w14:paraId="474915F7" w14:textId="77777777" w:rsidR="00A622BB" w:rsidRPr="006B4B9C" w:rsidRDefault="00A622BB" w:rsidP="00A622BB">
      <w:pPr>
        <w:pStyle w:val="BodyText"/>
        <w:tabs>
          <w:tab w:val="left" w:pos="567"/>
        </w:tabs>
        <w:rPr>
          <w:szCs w:val="22"/>
          <w:lang w:val="lv-LV"/>
        </w:rPr>
      </w:pPr>
      <w:r w:rsidRPr="006B4B9C">
        <w:rPr>
          <w:szCs w:val="22"/>
          <w:lang w:val="lv-LV"/>
        </w:rPr>
        <w:t>Ja pēc bradikardijas seko sirdsdarbības paātrināšanās</w:t>
      </w:r>
      <w:r w:rsidR="00CF0AD2" w:rsidRPr="006B4B9C">
        <w:rPr>
          <w:szCs w:val="22"/>
          <w:lang w:val="lv-LV"/>
        </w:rPr>
        <w:t>,</w:t>
      </w:r>
      <w:r w:rsidRPr="006B4B9C">
        <w:rPr>
          <w:szCs w:val="22"/>
          <w:lang w:val="lv-LV"/>
        </w:rPr>
        <w:t xml:space="preserve"> </w:t>
      </w:r>
      <w:r w:rsidR="00CF0AD2" w:rsidRPr="006B4B9C">
        <w:rPr>
          <w:szCs w:val="22"/>
          <w:lang w:val="lv-LV"/>
        </w:rPr>
        <w:t xml:space="preserve">tas ir </w:t>
      </w:r>
      <w:r w:rsidRPr="006B4B9C">
        <w:rPr>
          <w:szCs w:val="22"/>
          <w:lang w:val="lv-LV"/>
        </w:rPr>
        <w:t>pirmais pārdozēšanas simptoms. Šādā gadījumā infūzija jāpārtrauc. Blakus</w:t>
      </w:r>
      <w:r w:rsidR="00F2742F" w:rsidRPr="006B4B9C">
        <w:rPr>
          <w:szCs w:val="22"/>
          <w:lang w:val="lv-LV"/>
        </w:rPr>
        <w:t>parādības</w:t>
      </w:r>
      <w:r w:rsidRPr="006B4B9C">
        <w:rPr>
          <w:szCs w:val="22"/>
          <w:lang w:val="lv-LV"/>
        </w:rPr>
        <w:t xml:space="preserve"> var parādīties ar novēlošanos, pat 6-10 </w:t>
      </w:r>
      <w:r w:rsidR="00CF0AD2" w:rsidRPr="006B4B9C">
        <w:rPr>
          <w:szCs w:val="22"/>
          <w:lang w:val="lv-LV"/>
        </w:rPr>
        <w:t xml:space="preserve">stundu laikā </w:t>
      </w:r>
      <w:r w:rsidRPr="006B4B9C">
        <w:rPr>
          <w:szCs w:val="22"/>
          <w:lang w:val="lv-LV"/>
        </w:rPr>
        <w:t>pēc infūzijas, kā vispārēja veselības stāvokļa pasliktināšanās ar hiperkalcēmijas simptomiem. Šādu organisma stāvokli nedrīkst sajaukt ar atkārtotu hipokalcēmiju.</w:t>
      </w:r>
    </w:p>
    <w:p w14:paraId="59DC7B7F" w14:textId="77777777" w:rsidR="00A622BB" w:rsidRPr="006B4B9C" w:rsidRDefault="00A622BB" w:rsidP="00A622BB">
      <w:pPr>
        <w:pStyle w:val="BodyText"/>
        <w:tabs>
          <w:tab w:val="left" w:pos="567"/>
        </w:tabs>
        <w:rPr>
          <w:szCs w:val="22"/>
          <w:lang w:val="lv-LV"/>
        </w:rPr>
      </w:pPr>
      <w:r w:rsidRPr="006B4B9C">
        <w:rPr>
          <w:szCs w:val="22"/>
          <w:lang w:val="lv-LV"/>
        </w:rPr>
        <w:t xml:space="preserve">Skatīt arī </w:t>
      </w:r>
      <w:r w:rsidR="001C38DD" w:rsidRPr="006B4B9C">
        <w:rPr>
          <w:szCs w:val="22"/>
          <w:lang w:val="lv-LV"/>
        </w:rPr>
        <w:t>12.punktu.</w:t>
      </w:r>
    </w:p>
    <w:p w14:paraId="7A7A9E03" w14:textId="77777777" w:rsidR="00A622BB" w:rsidRPr="006B4B9C" w:rsidRDefault="00A622BB" w:rsidP="00A622BB">
      <w:pPr>
        <w:rPr>
          <w:szCs w:val="22"/>
          <w:lang w:val="lv-LV"/>
        </w:rPr>
      </w:pPr>
    </w:p>
    <w:p w14:paraId="4D0CC1FD" w14:textId="00B71A5F" w:rsidR="00A622BB" w:rsidRPr="006B4B9C" w:rsidRDefault="00A622BB" w:rsidP="00A622BB">
      <w:pPr>
        <w:tabs>
          <w:tab w:val="clear" w:pos="567"/>
        </w:tabs>
        <w:spacing w:line="240" w:lineRule="auto"/>
        <w:ind w:right="-2"/>
        <w:rPr>
          <w:color w:val="000000"/>
          <w:lang w:val="lv-LV"/>
        </w:rPr>
      </w:pPr>
      <w:r w:rsidRPr="006B4B9C">
        <w:rPr>
          <w:color w:val="000000"/>
          <w:lang w:val="lv-LV"/>
        </w:rPr>
        <w:t xml:space="preserve">Ja </w:t>
      </w:r>
      <w:r w:rsidR="00CC17D2" w:rsidRPr="006B4B9C">
        <w:rPr>
          <w:color w:val="000000"/>
          <w:lang w:val="lv-LV"/>
        </w:rPr>
        <w:t xml:space="preserve">novērojat jebkuras </w:t>
      </w:r>
      <w:r w:rsidRPr="006B4B9C">
        <w:rPr>
          <w:color w:val="000000"/>
          <w:lang w:val="lv-LV"/>
        </w:rPr>
        <w:t xml:space="preserve">blakusparādības, </w:t>
      </w:r>
      <w:r w:rsidR="00CC17D2" w:rsidRPr="006B4B9C">
        <w:rPr>
          <w:color w:val="000000"/>
          <w:lang w:val="lv-LV"/>
        </w:rPr>
        <w:t xml:space="preserve">arī tās, </w:t>
      </w:r>
      <w:r w:rsidRPr="006B4B9C">
        <w:rPr>
          <w:color w:val="000000"/>
          <w:lang w:val="lv-LV"/>
        </w:rPr>
        <w:t xml:space="preserve">kas nav minēta šajā lietošanas instrukcijā, </w:t>
      </w:r>
      <w:r w:rsidR="00CC17D2" w:rsidRPr="006B4B9C">
        <w:rPr>
          <w:color w:val="000000"/>
          <w:lang w:val="lv-LV"/>
        </w:rPr>
        <w:t xml:space="preserve">vai domājat, ka zāles nav iedarbojušās, </w:t>
      </w:r>
      <w:r w:rsidRPr="006B4B9C">
        <w:rPr>
          <w:color w:val="000000"/>
          <w:lang w:val="lv-LV"/>
        </w:rPr>
        <w:t>lūdzu</w:t>
      </w:r>
      <w:r w:rsidR="00B3480C" w:rsidRPr="006B4B9C">
        <w:rPr>
          <w:color w:val="000000"/>
          <w:lang w:val="lv-LV"/>
        </w:rPr>
        <w:t>,</w:t>
      </w:r>
      <w:r w:rsidRPr="006B4B9C">
        <w:rPr>
          <w:color w:val="000000"/>
          <w:lang w:val="lv-LV"/>
        </w:rPr>
        <w:t xml:space="preserve"> informēji</w:t>
      </w:r>
      <w:r w:rsidR="0035491B" w:rsidRPr="006B4B9C">
        <w:rPr>
          <w:color w:val="000000"/>
          <w:lang w:val="lv-LV"/>
        </w:rPr>
        <w:t>et par t</w:t>
      </w:r>
      <w:r w:rsidR="00CC17D2" w:rsidRPr="006B4B9C">
        <w:rPr>
          <w:color w:val="000000"/>
          <w:lang w:val="lv-LV"/>
        </w:rPr>
        <w:t>o</w:t>
      </w:r>
      <w:r w:rsidR="0035491B" w:rsidRPr="006B4B9C">
        <w:rPr>
          <w:color w:val="000000"/>
          <w:lang w:val="lv-LV"/>
        </w:rPr>
        <w:t xml:space="preserve"> savu veterinārārstu.</w:t>
      </w:r>
    </w:p>
    <w:p w14:paraId="7D7AEC23" w14:textId="70E3583F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5CBD5FB9" w14:textId="77777777" w:rsidR="006B4B9C" w:rsidRPr="006B4B9C" w:rsidRDefault="006B4B9C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6FC1E3C3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7.</w:t>
      </w:r>
      <w:r w:rsidRPr="006B4B9C">
        <w:rPr>
          <w:b/>
          <w:color w:val="000000"/>
          <w:szCs w:val="22"/>
          <w:lang w:val="lv-LV"/>
        </w:rPr>
        <w:tab/>
        <w:t>MĒRĶA SUGAS</w:t>
      </w:r>
    </w:p>
    <w:p w14:paraId="7C4BA327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7CBEFDFC" w14:textId="77777777" w:rsidR="00A622BB" w:rsidRPr="00ED2A92" w:rsidRDefault="00A622BB" w:rsidP="00A622BB">
      <w:pPr>
        <w:tabs>
          <w:tab w:val="clear" w:pos="567"/>
          <w:tab w:val="left" w:pos="572"/>
        </w:tabs>
        <w:ind w:left="26"/>
        <w:rPr>
          <w:bCs/>
          <w:szCs w:val="22"/>
          <w:lang w:val="lv-LV"/>
        </w:rPr>
      </w:pPr>
      <w:r w:rsidRPr="00ED2A92">
        <w:rPr>
          <w:bCs/>
          <w:color w:val="000000"/>
          <w:szCs w:val="22"/>
          <w:lang w:val="lv-LV"/>
        </w:rPr>
        <w:t>Liellopi, teļi, cūkas</w:t>
      </w:r>
      <w:r w:rsidRPr="00ED2A92">
        <w:rPr>
          <w:bCs/>
          <w:szCs w:val="22"/>
          <w:lang w:val="lv-LV"/>
        </w:rPr>
        <w:t>, un aitas.</w:t>
      </w:r>
    </w:p>
    <w:p w14:paraId="46229F43" w14:textId="5A2B57A5" w:rsidR="00A622BB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4BCE3320" w14:textId="77777777" w:rsidR="006B4B9C" w:rsidRPr="00ED2A92" w:rsidRDefault="006B4B9C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3944AAC7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8.</w:t>
      </w:r>
      <w:r w:rsidRPr="006B4B9C">
        <w:rPr>
          <w:b/>
          <w:color w:val="000000"/>
          <w:szCs w:val="22"/>
          <w:lang w:val="lv-LV"/>
        </w:rPr>
        <w:tab/>
        <w:t xml:space="preserve">DEVAS ATKARĪBĀ NO DZĪVNIEKU SUGAS, LIETOŠANAS VEIDA UN </w:t>
      </w:r>
      <w:r w:rsidR="001E772F" w:rsidRPr="006B4B9C">
        <w:rPr>
          <w:b/>
          <w:color w:val="000000"/>
          <w:szCs w:val="22"/>
          <w:lang w:val="lv-LV"/>
        </w:rPr>
        <w:t>METODES</w:t>
      </w:r>
    </w:p>
    <w:p w14:paraId="1A585B2E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4AAEA0BE" w14:textId="7CB78CCC" w:rsidR="00A622BB" w:rsidRDefault="00A622BB" w:rsidP="00A622BB">
      <w:pPr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>Lēnai intravenozai ievadīšanai.</w:t>
      </w:r>
    </w:p>
    <w:p w14:paraId="28A16C84" w14:textId="7F0D9DB3" w:rsidR="006B4B9C" w:rsidRPr="006B4B9C" w:rsidRDefault="006B4B9C" w:rsidP="00ED2A92">
      <w:pPr>
        <w:tabs>
          <w:tab w:val="left" w:pos="426"/>
          <w:tab w:val="left" w:pos="1404"/>
        </w:tabs>
        <w:ind w:left="426" w:hanging="400"/>
        <w:jc w:val="both"/>
        <w:rPr>
          <w:szCs w:val="22"/>
          <w:lang w:val="lv-LV"/>
        </w:rPr>
      </w:pPr>
      <w:r w:rsidRPr="00EB2AB3">
        <w:rPr>
          <w:szCs w:val="22"/>
          <w:lang w:val="lv-LV"/>
        </w:rPr>
        <w:t xml:space="preserve">Infūzijas laikā </w:t>
      </w:r>
      <w:r>
        <w:rPr>
          <w:szCs w:val="22"/>
          <w:lang w:val="lv-LV"/>
        </w:rPr>
        <w:t>uzraudzīt</w:t>
      </w:r>
      <w:r w:rsidRPr="00EB2AB3">
        <w:rPr>
          <w:szCs w:val="22"/>
          <w:lang w:val="lv-LV"/>
        </w:rPr>
        <w:t xml:space="preserve"> sirdsdarbības </w:t>
      </w:r>
      <w:r>
        <w:rPr>
          <w:szCs w:val="22"/>
          <w:lang w:val="lv-LV"/>
        </w:rPr>
        <w:t xml:space="preserve">ātrumu, ritmu </w:t>
      </w:r>
      <w:r w:rsidRPr="00EB2AB3">
        <w:rPr>
          <w:szCs w:val="22"/>
          <w:lang w:val="lv-LV"/>
        </w:rPr>
        <w:t>un asinsrit</w:t>
      </w:r>
      <w:r>
        <w:rPr>
          <w:szCs w:val="22"/>
          <w:lang w:val="lv-LV"/>
        </w:rPr>
        <w:t>i</w:t>
      </w:r>
      <w:r w:rsidRPr="00EB2AB3">
        <w:rPr>
          <w:szCs w:val="22"/>
          <w:lang w:val="lv-LV"/>
        </w:rPr>
        <w:t>.</w:t>
      </w:r>
    </w:p>
    <w:p w14:paraId="2859793C" w14:textId="77777777" w:rsidR="00A622BB" w:rsidRPr="006B4B9C" w:rsidRDefault="00A622BB" w:rsidP="00A622BB">
      <w:pPr>
        <w:tabs>
          <w:tab w:val="left" w:pos="1404"/>
        </w:tabs>
        <w:jc w:val="both"/>
        <w:rPr>
          <w:szCs w:val="22"/>
          <w:lang w:val="lv-LV"/>
        </w:rPr>
      </w:pPr>
    </w:p>
    <w:p w14:paraId="0B8CAEF8" w14:textId="77777777" w:rsidR="00F862DB" w:rsidRPr="006B4B9C" w:rsidRDefault="00A622BB" w:rsidP="00A622BB">
      <w:pPr>
        <w:tabs>
          <w:tab w:val="left" w:pos="426"/>
          <w:tab w:val="left" w:pos="1404"/>
        </w:tabs>
        <w:ind w:left="426" w:hanging="400"/>
        <w:jc w:val="both"/>
        <w:rPr>
          <w:szCs w:val="22"/>
          <w:lang w:val="lv-LV"/>
        </w:rPr>
      </w:pPr>
      <w:r w:rsidRPr="006B4B9C">
        <w:rPr>
          <w:szCs w:val="22"/>
          <w:u w:val="single"/>
          <w:lang w:val="lv-LV"/>
        </w:rPr>
        <w:t>Liellopi:</w:t>
      </w:r>
      <w:r w:rsidRPr="006B4B9C">
        <w:rPr>
          <w:szCs w:val="22"/>
          <w:lang w:val="lv-LV"/>
        </w:rPr>
        <w:t xml:space="preserve"> </w:t>
      </w:r>
      <w:r w:rsidRPr="006B4B9C">
        <w:rPr>
          <w:szCs w:val="22"/>
          <w:lang w:val="lv-LV"/>
        </w:rPr>
        <w:tab/>
      </w:r>
    </w:p>
    <w:p w14:paraId="2F210E1A" w14:textId="77777777" w:rsidR="00A622BB" w:rsidRPr="006B4B9C" w:rsidRDefault="00A622BB" w:rsidP="00A622BB">
      <w:pPr>
        <w:tabs>
          <w:tab w:val="left" w:pos="426"/>
          <w:tab w:val="left" w:pos="1404"/>
        </w:tabs>
        <w:ind w:left="426" w:hanging="400"/>
        <w:jc w:val="both"/>
        <w:rPr>
          <w:i/>
          <w:iCs/>
          <w:szCs w:val="22"/>
          <w:lang w:val="lv-LV"/>
        </w:rPr>
      </w:pPr>
      <w:r w:rsidRPr="006B4B9C">
        <w:rPr>
          <w:i/>
          <w:iCs/>
          <w:szCs w:val="22"/>
          <w:lang w:val="lv-LV"/>
        </w:rPr>
        <w:t xml:space="preserve">Akūtas hipokalcēmijas gadījumā: </w:t>
      </w:r>
    </w:p>
    <w:p w14:paraId="4419827D" w14:textId="1D367AE6" w:rsidR="00A622BB" w:rsidRPr="006B4B9C" w:rsidRDefault="00F862DB" w:rsidP="00ED2A92">
      <w:pPr>
        <w:tabs>
          <w:tab w:val="clear" w:pos="567"/>
          <w:tab w:val="left" w:pos="0"/>
          <w:tab w:val="left" w:pos="142"/>
          <w:tab w:val="left" w:pos="1404"/>
        </w:tabs>
        <w:ind w:firstLine="26"/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 xml:space="preserve">Lēni intravenozi </w:t>
      </w:r>
      <w:r w:rsidR="00A622BB" w:rsidRPr="006B4B9C">
        <w:rPr>
          <w:szCs w:val="22"/>
          <w:lang w:val="lv-LV"/>
        </w:rPr>
        <w:t>20 - 30 ml Calciveyxol 38 uz 50 kg ķermeņa svara (</w:t>
      </w:r>
      <w:r w:rsidRPr="006B4B9C">
        <w:rPr>
          <w:szCs w:val="22"/>
          <w:lang w:val="lv-LV"/>
        </w:rPr>
        <w:t xml:space="preserve">atbilst </w:t>
      </w:r>
      <w:r w:rsidR="00A622BB" w:rsidRPr="006B4B9C">
        <w:rPr>
          <w:szCs w:val="22"/>
          <w:lang w:val="lv-LV"/>
        </w:rPr>
        <w:t>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34 –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51 mmol Ca</w:t>
      </w:r>
      <w:r w:rsidR="00A622BB" w:rsidRPr="006B4B9C">
        <w:rPr>
          <w:szCs w:val="22"/>
          <w:vertAlign w:val="superscript"/>
          <w:lang w:val="lv-LV"/>
        </w:rPr>
        <w:t>2+</w:t>
      </w:r>
      <w:r w:rsidR="00A622BB" w:rsidRPr="006B4B9C">
        <w:rPr>
          <w:szCs w:val="22"/>
          <w:lang w:val="lv-LV"/>
        </w:rPr>
        <w:t xml:space="preserve"> un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12 –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18 mmol Mg</w:t>
      </w:r>
      <w:r w:rsidR="00A622BB" w:rsidRPr="006B4B9C">
        <w:rPr>
          <w:szCs w:val="22"/>
          <w:vertAlign w:val="superscript"/>
          <w:lang w:val="lv-LV"/>
        </w:rPr>
        <w:t>2+</w:t>
      </w:r>
      <w:r w:rsidR="00A622BB" w:rsidRPr="006B4B9C">
        <w:rPr>
          <w:szCs w:val="22"/>
          <w:lang w:val="lv-LV"/>
        </w:rPr>
        <w:t xml:space="preserve"> uz kg ķermeņa svara)</w:t>
      </w:r>
      <w:r w:rsidR="006B4B9C">
        <w:rPr>
          <w:szCs w:val="22"/>
          <w:lang w:val="lv-LV"/>
        </w:rPr>
        <w:t>.</w:t>
      </w:r>
    </w:p>
    <w:p w14:paraId="21AFCEA7" w14:textId="77777777" w:rsidR="00A622BB" w:rsidRPr="006B4B9C" w:rsidRDefault="00A622BB" w:rsidP="00A622BB">
      <w:pPr>
        <w:tabs>
          <w:tab w:val="left" w:pos="426"/>
          <w:tab w:val="left" w:pos="1092"/>
          <w:tab w:val="left" w:pos="1404"/>
        </w:tabs>
        <w:ind w:left="426" w:hanging="400"/>
        <w:jc w:val="both"/>
        <w:rPr>
          <w:szCs w:val="22"/>
          <w:lang w:val="lv-LV"/>
        </w:rPr>
      </w:pPr>
    </w:p>
    <w:p w14:paraId="70979CF4" w14:textId="4E15950B" w:rsidR="00A622BB" w:rsidRPr="006B4B9C" w:rsidRDefault="00A622BB" w:rsidP="00F862DB">
      <w:pPr>
        <w:tabs>
          <w:tab w:val="clear" w:pos="567"/>
          <w:tab w:val="left" w:pos="142"/>
          <w:tab w:val="left" w:pos="284"/>
          <w:tab w:val="left" w:pos="1404"/>
        </w:tabs>
        <w:ind w:firstLine="26"/>
        <w:jc w:val="both"/>
        <w:rPr>
          <w:i/>
          <w:iCs/>
          <w:szCs w:val="22"/>
          <w:lang w:val="lv-LV"/>
        </w:rPr>
      </w:pPr>
      <w:r w:rsidRPr="006B4B9C">
        <w:rPr>
          <w:i/>
          <w:iCs/>
          <w:szCs w:val="22"/>
          <w:lang w:val="lv-LV"/>
        </w:rPr>
        <w:t>Atbalsta terapija alerģiju, nātrenes, hemorāģiskās diatēzes, dzemdes atonijas gadījumā:</w:t>
      </w:r>
    </w:p>
    <w:p w14:paraId="0FE3C64E" w14:textId="74EAC5AD" w:rsidR="00A622BB" w:rsidRPr="006B4B9C" w:rsidRDefault="00F862DB" w:rsidP="00ED2A92">
      <w:pPr>
        <w:tabs>
          <w:tab w:val="clear" w:pos="567"/>
          <w:tab w:val="left" w:pos="142"/>
          <w:tab w:val="left" w:pos="1404"/>
        </w:tabs>
        <w:ind w:firstLine="26"/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 xml:space="preserve">Lēni intravenozi </w:t>
      </w:r>
      <w:r w:rsidR="00A622BB" w:rsidRPr="006B4B9C">
        <w:rPr>
          <w:szCs w:val="22"/>
          <w:lang w:val="lv-LV"/>
        </w:rPr>
        <w:t>15 - 20 ml Calciveyxol 38 uz 50 kg ķermeņa svara (</w:t>
      </w:r>
      <w:r w:rsidRPr="006B4B9C">
        <w:rPr>
          <w:szCs w:val="22"/>
          <w:lang w:val="lv-LV"/>
        </w:rPr>
        <w:t>atbilst</w:t>
      </w:r>
      <w:r w:rsidR="00A622BB" w:rsidRPr="006B4B9C">
        <w:rPr>
          <w:szCs w:val="22"/>
          <w:lang w:val="lv-LV"/>
        </w:rPr>
        <w:t xml:space="preserve">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26 –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34 mmol Ca</w:t>
      </w:r>
      <w:r w:rsidR="00A622BB" w:rsidRPr="006B4B9C">
        <w:rPr>
          <w:szCs w:val="22"/>
          <w:vertAlign w:val="superscript"/>
          <w:lang w:val="lv-LV"/>
        </w:rPr>
        <w:t>2+</w:t>
      </w:r>
      <w:r w:rsidR="00A622BB" w:rsidRPr="006B4B9C">
        <w:rPr>
          <w:szCs w:val="22"/>
          <w:lang w:val="lv-LV"/>
        </w:rPr>
        <w:t xml:space="preserve"> un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09 –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12 mmol Mg</w:t>
      </w:r>
      <w:r w:rsidR="00A622BB" w:rsidRPr="006B4B9C">
        <w:rPr>
          <w:szCs w:val="22"/>
          <w:vertAlign w:val="superscript"/>
          <w:lang w:val="lv-LV"/>
        </w:rPr>
        <w:t>2+</w:t>
      </w:r>
      <w:r w:rsidR="00A622BB" w:rsidRPr="006B4B9C">
        <w:rPr>
          <w:szCs w:val="22"/>
          <w:lang w:val="lv-LV"/>
        </w:rPr>
        <w:t xml:space="preserve"> uz kg ķermeņa svara)</w:t>
      </w:r>
      <w:r w:rsidR="006B4B9C">
        <w:rPr>
          <w:szCs w:val="22"/>
          <w:lang w:val="lv-LV"/>
        </w:rPr>
        <w:t>.</w:t>
      </w:r>
    </w:p>
    <w:p w14:paraId="303B66DE" w14:textId="77777777" w:rsidR="00A622BB" w:rsidRPr="006B4B9C" w:rsidRDefault="00A622BB" w:rsidP="00A622BB">
      <w:pPr>
        <w:tabs>
          <w:tab w:val="left" w:pos="426"/>
          <w:tab w:val="left" w:pos="1092"/>
          <w:tab w:val="left" w:pos="1144"/>
          <w:tab w:val="left" w:pos="1404"/>
        </w:tabs>
        <w:ind w:left="426" w:hanging="400"/>
        <w:jc w:val="both"/>
        <w:rPr>
          <w:szCs w:val="22"/>
          <w:lang w:val="lv-LV"/>
        </w:rPr>
      </w:pPr>
    </w:p>
    <w:p w14:paraId="71E625E4" w14:textId="77777777" w:rsidR="00A622BB" w:rsidRPr="006B4B9C" w:rsidRDefault="00A622BB" w:rsidP="00A622BB">
      <w:pPr>
        <w:tabs>
          <w:tab w:val="left" w:pos="426"/>
          <w:tab w:val="left" w:pos="1092"/>
          <w:tab w:val="left" w:pos="1144"/>
          <w:tab w:val="left" w:pos="1404"/>
        </w:tabs>
        <w:ind w:left="426" w:hanging="400"/>
        <w:jc w:val="both"/>
        <w:rPr>
          <w:szCs w:val="22"/>
          <w:u w:val="single"/>
          <w:lang w:val="lv-LV"/>
        </w:rPr>
      </w:pPr>
      <w:r w:rsidRPr="006B4B9C">
        <w:rPr>
          <w:szCs w:val="22"/>
          <w:u w:val="single"/>
          <w:lang w:val="lv-LV"/>
        </w:rPr>
        <w:t xml:space="preserve">Aitas, teļi, cūkas: </w:t>
      </w:r>
    </w:p>
    <w:p w14:paraId="6C745DCA" w14:textId="582F981A" w:rsidR="00A622BB" w:rsidRPr="006B4B9C" w:rsidRDefault="00F862DB" w:rsidP="00ED2A92">
      <w:pPr>
        <w:tabs>
          <w:tab w:val="clear" w:pos="567"/>
          <w:tab w:val="left" w:pos="142"/>
          <w:tab w:val="left" w:pos="284"/>
          <w:tab w:val="left" w:pos="1404"/>
        </w:tabs>
        <w:ind w:firstLine="26"/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 xml:space="preserve">Lēni intravenozi </w:t>
      </w:r>
      <w:r w:rsidR="00A622BB" w:rsidRPr="006B4B9C">
        <w:rPr>
          <w:szCs w:val="22"/>
          <w:lang w:val="lv-LV"/>
        </w:rPr>
        <w:t>3 - 4 ml Calciveyxol 38 uz 10 kg ķermeņa svara (</w:t>
      </w:r>
      <w:r w:rsidRPr="006B4B9C">
        <w:rPr>
          <w:szCs w:val="22"/>
          <w:lang w:val="lv-LV"/>
        </w:rPr>
        <w:t>atbilst</w:t>
      </w:r>
      <w:r w:rsidR="00A622BB" w:rsidRPr="006B4B9C">
        <w:rPr>
          <w:szCs w:val="22"/>
          <w:lang w:val="lv-LV"/>
        </w:rPr>
        <w:t xml:space="preserve">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26 –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34 mmol Ca</w:t>
      </w:r>
      <w:r w:rsidR="00A622BB" w:rsidRPr="006B4B9C">
        <w:rPr>
          <w:szCs w:val="22"/>
          <w:vertAlign w:val="superscript"/>
          <w:lang w:val="lv-LV"/>
        </w:rPr>
        <w:t>2+</w:t>
      </w:r>
      <w:r w:rsidR="00A622BB" w:rsidRPr="006B4B9C">
        <w:rPr>
          <w:szCs w:val="22"/>
          <w:lang w:val="lv-LV"/>
        </w:rPr>
        <w:t xml:space="preserve"> un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09 – 0</w:t>
      </w:r>
      <w:r w:rsidR="001C38DD" w:rsidRPr="006B4B9C">
        <w:rPr>
          <w:szCs w:val="22"/>
          <w:lang w:val="lv-LV"/>
        </w:rPr>
        <w:t>,</w:t>
      </w:r>
      <w:r w:rsidR="00A622BB" w:rsidRPr="006B4B9C">
        <w:rPr>
          <w:szCs w:val="22"/>
          <w:lang w:val="lv-LV"/>
        </w:rPr>
        <w:t>12 mmol Mg</w:t>
      </w:r>
      <w:r w:rsidR="00A622BB" w:rsidRPr="006B4B9C">
        <w:rPr>
          <w:szCs w:val="22"/>
          <w:vertAlign w:val="superscript"/>
          <w:lang w:val="lv-LV"/>
        </w:rPr>
        <w:t>2+</w:t>
      </w:r>
      <w:r w:rsidR="00A622BB" w:rsidRPr="006B4B9C">
        <w:rPr>
          <w:szCs w:val="22"/>
          <w:lang w:val="lv-LV"/>
        </w:rPr>
        <w:t xml:space="preserve"> uz kg ķermeņa svara)</w:t>
      </w:r>
      <w:r w:rsidR="006B4B9C">
        <w:rPr>
          <w:szCs w:val="22"/>
          <w:lang w:val="lv-LV"/>
        </w:rPr>
        <w:t>.</w:t>
      </w:r>
    </w:p>
    <w:p w14:paraId="473EEFF0" w14:textId="77777777" w:rsidR="00A622BB" w:rsidRPr="006B4B9C" w:rsidRDefault="00A622BB" w:rsidP="00A622BB">
      <w:pPr>
        <w:tabs>
          <w:tab w:val="left" w:pos="426"/>
        </w:tabs>
        <w:ind w:left="426" w:hanging="400"/>
        <w:jc w:val="both"/>
        <w:rPr>
          <w:szCs w:val="22"/>
          <w:lang w:val="lv-LV"/>
        </w:rPr>
      </w:pPr>
    </w:p>
    <w:p w14:paraId="5487B735" w14:textId="77777777" w:rsidR="00A622BB" w:rsidRPr="006B4B9C" w:rsidRDefault="00A622BB" w:rsidP="00A622BB">
      <w:pPr>
        <w:tabs>
          <w:tab w:val="left" w:pos="426"/>
        </w:tabs>
        <w:ind w:left="426" w:hanging="400"/>
        <w:jc w:val="both"/>
        <w:rPr>
          <w:szCs w:val="22"/>
          <w:lang w:val="lv-LV"/>
        </w:rPr>
      </w:pPr>
    </w:p>
    <w:p w14:paraId="758C511B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9.</w:t>
      </w:r>
      <w:r w:rsidRPr="006B4B9C">
        <w:rPr>
          <w:b/>
          <w:color w:val="000000"/>
          <w:szCs w:val="22"/>
          <w:lang w:val="lv-LV"/>
        </w:rPr>
        <w:tab/>
        <w:t xml:space="preserve">IETEIKUMI PAREIZAI LIETOŠANAI </w:t>
      </w:r>
    </w:p>
    <w:p w14:paraId="23106562" w14:textId="77777777" w:rsidR="00A622BB" w:rsidRPr="006B4B9C" w:rsidRDefault="00A622BB" w:rsidP="00A622BB">
      <w:pPr>
        <w:tabs>
          <w:tab w:val="clear" w:pos="567"/>
        </w:tabs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470E1BB8" w14:textId="77777777" w:rsidR="00A622BB" w:rsidRPr="006B4B9C" w:rsidRDefault="00A622BB" w:rsidP="00ED2A92">
      <w:pPr>
        <w:pStyle w:val="BodyText"/>
        <w:tabs>
          <w:tab w:val="left" w:pos="284"/>
        </w:tabs>
        <w:rPr>
          <w:rFonts w:cs="Arial"/>
          <w:bCs/>
          <w:szCs w:val="22"/>
          <w:lang w:val="lv-LV"/>
        </w:rPr>
      </w:pPr>
      <w:r w:rsidRPr="006B4B9C">
        <w:rPr>
          <w:rFonts w:cs="Arial"/>
          <w:bCs/>
          <w:szCs w:val="22"/>
          <w:lang w:val="lv-LV"/>
        </w:rPr>
        <w:t xml:space="preserve">Šķīdums intravenozai infūzijai jāievada lēnām, 20 – 30 minūšu laikā. Devas plāno saskaņā ar </w:t>
      </w:r>
      <w:r w:rsidR="008D1889" w:rsidRPr="006B4B9C">
        <w:rPr>
          <w:rFonts w:cs="Arial"/>
          <w:bCs/>
          <w:szCs w:val="22"/>
          <w:lang w:val="lv-LV"/>
        </w:rPr>
        <w:t xml:space="preserve">esošo </w:t>
      </w:r>
      <w:r w:rsidR="005D0975" w:rsidRPr="006B4B9C">
        <w:rPr>
          <w:rFonts w:cs="Arial"/>
          <w:bCs/>
          <w:szCs w:val="22"/>
          <w:lang w:val="lv-LV"/>
        </w:rPr>
        <w:t xml:space="preserve">kalcija </w:t>
      </w:r>
      <w:r w:rsidR="00F862DB" w:rsidRPr="006B4B9C">
        <w:rPr>
          <w:rFonts w:cs="Arial"/>
          <w:bCs/>
          <w:szCs w:val="22"/>
          <w:lang w:val="lv-LV"/>
        </w:rPr>
        <w:t xml:space="preserve">deficīta pakāpi </w:t>
      </w:r>
      <w:r w:rsidRPr="006B4B9C">
        <w:rPr>
          <w:rFonts w:cs="Arial"/>
          <w:bCs/>
          <w:szCs w:val="22"/>
          <w:lang w:val="lv-LV"/>
        </w:rPr>
        <w:t xml:space="preserve">un asinsrites sevišķiem nosacījumiem. </w:t>
      </w:r>
    </w:p>
    <w:p w14:paraId="034A47C0" w14:textId="77777777" w:rsidR="00A622BB" w:rsidRPr="006B4B9C" w:rsidRDefault="00A622BB" w:rsidP="00A622BB">
      <w:pPr>
        <w:jc w:val="both"/>
        <w:rPr>
          <w:szCs w:val="22"/>
          <w:lang w:val="lv-LV"/>
        </w:rPr>
      </w:pPr>
    </w:p>
    <w:p w14:paraId="67C8CDF0" w14:textId="77777777" w:rsidR="006B4B9C" w:rsidRDefault="00A622BB" w:rsidP="00A622BB">
      <w:pPr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>Atkārtot</w:t>
      </w:r>
      <w:r w:rsidR="00121480" w:rsidRPr="006B4B9C">
        <w:rPr>
          <w:szCs w:val="22"/>
          <w:lang w:val="lv-LV"/>
        </w:rPr>
        <w:t xml:space="preserve">i ievadīt </w:t>
      </w:r>
      <w:r w:rsidRPr="006B4B9C">
        <w:rPr>
          <w:szCs w:val="22"/>
          <w:lang w:val="lv-LV"/>
        </w:rPr>
        <w:t xml:space="preserve">ne ātrāk kā 6 stundas pēc pirmās </w:t>
      </w:r>
      <w:r w:rsidR="00121480" w:rsidRPr="006B4B9C">
        <w:rPr>
          <w:szCs w:val="22"/>
          <w:lang w:val="lv-LV"/>
        </w:rPr>
        <w:t xml:space="preserve">zāļu </w:t>
      </w:r>
      <w:r w:rsidRPr="006B4B9C">
        <w:rPr>
          <w:szCs w:val="22"/>
          <w:lang w:val="lv-LV"/>
        </w:rPr>
        <w:t>ievadīšanas</w:t>
      </w:r>
      <w:r w:rsidR="00121480" w:rsidRPr="006B4B9C">
        <w:rPr>
          <w:szCs w:val="22"/>
          <w:lang w:val="lv-LV"/>
        </w:rPr>
        <w:t xml:space="preserve"> reizes</w:t>
      </w:r>
      <w:r w:rsidRPr="006B4B9C">
        <w:rPr>
          <w:szCs w:val="22"/>
          <w:lang w:val="lv-LV"/>
        </w:rPr>
        <w:t xml:space="preserve">. </w:t>
      </w:r>
    </w:p>
    <w:p w14:paraId="53AF456C" w14:textId="388F2D47" w:rsidR="00A622BB" w:rsidRPr="006B4B9C" w:rsidRDefault="00A622BB" w:rsidP="00A622BB">
      <w:pPr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>Papildu</w:t>
      </w:r>
      <w:r w:rsidR="00121480" w:rsidRPr="006B4B9C">
        <w:rPr>
          <w:szCs w:val="22"/>
          <w:lang w:val="lv-LV"/>
        </w:rPr>
        <w:t xml:space="preserve">s ievadīt </w:t>
      </w:r>
      <w:r w:rsidRPr="006B4B9C">
        <w:rPr>
          <w:szCs w:val="22"/>
          <w:lang w:val="lv-LV"/>
        </w:rPr>
        <w:t xml:space="preserve">ar 24 stundu intervālu, </w:t>
      </w:r>
      <w:r w:rsidR="008D1889" w:rsidRPr="006B4B9C">
        <w:rPr>
          <w:szCs w:val="22"/>
          <w:lang w:val="lv-LV"/>
        </w:rPr>
        <w:t>izvērtējot, vai</w:t>
      </w:r>
      <w:r w:rsidRPr="006B4B9C">
        <w:rPr>
          <w:szCs w:val="22"/>
          <w:lang w:val="lv-LV"/>
        </w:rPr>
        <w:t xml:space="preserve"> esošie hipokalcēmijas simptomi </w:t>
      </w:r>
      <w:r w:rsidR="00B763C1" w:rsidRPr="006B4B9C">
        <w:rPr>
          <w:szCs w:val="22"/>
          <w:lang w:val="lv-LV"/>
        </w:rPr>
        <w:t>nemazinās</w:t>
      </w:r>
      <w:r w:rsidRPr="006B4B9C">
        <w:rPr>
          <w:szCs w:val="22"/>
          <w:lang w:val="lv-LV"/>
        </w:rPr>
        <w:t>.</w:t>
      </w:r>
    </w:p>
    <w:p w14:paraId="060734AE" w14:textId="56EE9922" w:rsidR="00A622BB" w:rsidRDefault="00A622BB" w:rsidP="00A622BB">
      <w:pPr>
        <w:jc w:val="both"/>
        <w:rPr>
          <w:b/>
          <w:color w:val="000000"/>
          <w:szCs w:val="22"/>
          <w:lang w:val="lv-LV"/>
        </w:rPr>
      </w:pPr>
    </w:p>
    <w:p w14:paraId="1A758D0A" w14:textId="77777777" w:rsidR="006B4B9C" w:rsidRPr="006B4B9C" w:rsidRDefault="006B4B9C" w:rsidP="00A622BB">
      <w:pPr>
        <w:jc w:val="both"/>
        <w:rPr>
          <w:b/>
          <w:color w:val="000000"/>
          <w:szCs w:val="22"/>
          <w:lang w:val="lv-LV"/>
        </w:rPr>
      </w:pPr>
    </w:p>
    <w:p w14:paraId="5D7CA5AA" w14:textId="76849499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10.</w:t>
      </w:r>
      <w:r w:rsidRPr="006B4B9C">
        <w:rPr>
          <w:b/>
          <w:color w:val="000000"/>
          <w:szCs w:val="22"/>
          <w:lang w:val="lv-LV"/>
        </w:rPr>
        <w:tab/>
        <w:t>IEROBEŽOJUMU PERIODS(</w:t>
      </w:r>
      <w:r w:rsidR="00CC17D2" w:rsidRPr="006B4B9C">
        <w:rPr>
          <w:b/>
          <w:color w:val="000000"/>
          <w:szCs w:val="22"/>
          <w:lang w:val="lv-LV"/>
        </w:rPr>
        <w:t>-</w:t>
      </w:r>
      <w:r w:rsidRPr="006B4B9C">
        <w:rPr>
          <w:b/>
          <w:color w:val="000000"/>
          <w:szCs w:val="22"/>
          <w:lang w:val="lv-LV"/>
        </w:rPr>
        <w:t xml:space="preserve">I) DZĪVNIEKU PRODUKCIJAS IZMANTOŠANĀ </w:t>
      </w:r>
    </w:p>
    <w:p w14:paraId="11EC5C47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339CCA63" w14:textId="39564C91" w:rsidR="001C38DD" w:rsidRPr="006B4B9C" w:rsidRDefault="00A622BB" w:rsidP="00A622BB">
      <w:pPr>
        <w:tabs>
          <w:tab w:val="left" w:pos="2392"/>
          <w:tab w:val="right" w:pos="5798"/>
        </w:tabs>
        <w:rPr>
          <w:b/>
          <w:szCs w:val="22"/>
          <w:lang w:val="lv-LV"/>
        </w:rPr>
      </w:pPr>
      <w:r w:rsidRPr="006B4B9C">
        <w:rPr>
          <w:szCs w:val="22"/>
          <w:lang w:val="lv-LV"/>
        </w:rPr>
        <w:t>Liellopi</w:t>
      </w:r>
      <w:r w:rsidR="006B4B9C">
        <w:rPr>
          <w:szCs w:val="22"/>
          <w:lang w:val="lv-LV"/>
        </w:rPr>
        <w:t>em</w:t>
      </w:r>
      <w:r w:rsidRPr="006B4B9C">
        <w:rPr>
          <w:szCs w:val="22"/>
          <w:lang w:val="lv-LV"/>
        </w:rPr>
        <w:t>, cūk</w:t>
      </w:r>
      <w:r w:rsidR="006B4B9C">
        <w:rPr>
          <w:szCs w:val="22"/>
          <w:lang w:val="lv-LV"/>
        </w:rPr>
        <w:t>ām</w:t>
      </w:r>
      <w:r w:rsidRPr="006B4B9C">
        <w:rPr>
          <w:szCs w:val="22"/>
          <w:lang w:val="lv-LV"/>
        </w:rPr>
        <w:t>, ait</w:t>
      </w:r>
      <w:r w:rsidR="006B4B9C">
        <w:rPr>
          <w:szCs w:val="22"/>
          <w:lang w:val="lv-LV"/>
        </w:rPr>
        <w:t>ām</w:t>
      </w:r>
      <w:r w:rsidRPr="006B4B9C">
        <w:rPr>
          <w:szCs w:val="22"/>
          <w:lang w:val="lv-LV"/>
        </w:rPr>
        <w:t>:</w:t>
      </w:r>
      <w:r w:rsidRPr="006B4B9C">
        <w:rPr>
          <w:b/>
          <w:szCs w:val="22"/>
          <w:lang w:val="lv-LV"/>
        </w:rPr>
        <w:tab/>
      </w:r>
    </w:p>
    <w:p w14:paraId="210D1374" w14:textId="77777777" w:rsidR="00A622BB" w:rsidRPr="006B4B9C" w:rsidRDefault="00121480" w:rsidP="00A622BB">
      <w:pPr>
        <w:tabs>
          <w:tab w:val="left" w:pos="2392"/>
          <w:tab w:val="right" w:pos="5798"/>
        </w:tabs>
        <w:rPr>
          <w:szCs w:val="22"/>
          <w:lang w:val="lv-LV"/>
        </w:rPr>
      </w:pPr>
      <w:r w:rsidRPr="006B4B9C">
        <w:rPr>
          <w:szCs w:val="22"/>
          <w:lang w:val="lv-LV"/>
        </w:rPr>
        <w:t xml:space="preserve">Gaļai </w:t>
      </w:r>
      <w:r w:rsidR="00A622BB" w:rsidRPr="006B4B9C">
        <w:rPr>
          <w:szCs w:val="22"/>
          <w:lang w:val="lv-LV"/>
        </w:rPr>
        <w:t>un blakusprodukti</w:t>
      </w:r>
      <w:r w:rsidR="001C38DD" w:rsidRPr="006B4B9C">
        <w:rPr>
          <w:szCs w:val="22"/>
          <w:lang w:val="lv-LV"/>
        </w:rPr>
        <w:t>em</w:t>
      </w:r>
      <w:r w:rsidR="00A622BB" w:rsidRPr="006B4B9C">
        <w:rPr>
          <w:szCs w:val="22"/>
          <w:lang w:val="lv-LV"/>
        </w:rPr>
        <w:t>:</w:t>
      </w:r>
      <w:r w:rsidR="00786EA7" w:rsidRPr="006B4B9C">
        <w:rPr>
          <w:szCs w:val="22"/>
          <w:lang w:val="lv-LV"/>
        </w:rPr>
        <w:t xml:space="preserve"> </w:t>
      </w:r>
      <w:r w:rsidR="00A622BB" w:rsidRPr="006B4B9C">
        <w:rPr>
          <w:szCs w:val="22"/>
          <w:lang w:val="lv-LV"/>
        </w:rPr>
        <w:t>nulle dienas</w:t>
      </w:r>
      <w:r w:rsidRPr="006B4B9C">
        <w:rPr>
          <w:szCs w:val="22"/>
          <w:lang w:val="lv-LV"/>
        </w:rPr>
        <w:t>.</w:t>
      </w:r>
    </w:p>
    <w:p w14:paraId="0DB01AAA" w14:textId="77777777" w:rsidR="00A622BB" w:rsidRPr="006B4B9C" w:rsidRDefault="00A622BB" w:rsidP="00A622BB">
      <w:pPr>
        <w:tabs>
          <w:tab w:val="left" w:pos="2392"/>
          <w:tab w:val="left" w:pos="2886"/>
          <w:tab w:val="left" w:pos="5103"/>
          <w:tab w:val="left" w:pos="5387"/>
          <w:tab w:val="right" w:pos="5798"/>
        </w:tabs>
        <w:rPr>
          <w:szCs w:val="22"/>
          <w:lang w:val="lv-LV"/>
        </w:rPr>
      </w:pPr>
    </w:p>
    <w:p w14:paraId="37FBB736" w14:textId="141638F2" w:rsidR="001C38DD" w:rsidRPr="006B4B9C" w:rsidRDefault="00A622BB" w:rsidP="00A622BB">
      <w:pPr>
        <w:tabs>
          <w:tab w:val="left" w:pos="2392"/>
          <w:tab w:val="right" w:pos="5798"/>
        </w:tabs>
        <w:rPr>
          <w:b/>
          <w:szCs w:val="22"/>
          <w:lang w:val="lv-LV"/>
        </w:rPr>
      </w:pPr>
      <w:r w:rsidRPr="006B4B9C">
        <w:rPr>
          <w:szCs w:val="22"/>
          <w:lang w:val="lv-LV"/>
        </w:rPr>
        <w:t>Liellopi</w:t>
      </w:r>
      <w:r w:rsidR="006B4B9C">
        <w:rPr>
          <w:szCs w:val="22"/>
          <w:lang w:val="lv-LV"/>
        </w:rPr>
        <w:t>em</w:t>
      </w:r>
      <w:r w:rsidRPr="006B4B9C">
        <w:rPr>
          <w:szCs w:val="22"/>
          <w:lang w:val="lv-LV"/>
        </w:rPr>
        <w:t>:</w:t>
      </w:r>
      <w:r w:rsidRPr="006B4B9C">
        <w:rPr>
          <w:b/>
          <w:szCs w:val="22"/>
          <w:lang w:val="lv-LV"/>
        </w:rPr>
        <w:tab/>
      </w:r>
    </w:p>
    <w:p w14:paraId="4EB06915" w14:textId="77777777" w:rsidR="00A622BB" w:rsidRPr="006B4B9C" w:rsidRDefault="00121480" w:rsidP="00A622BB">
      <w:pPr>
        <w:tabs>
          <w:tab w:val="left" w:pos="2392"/>
          <w:tab w:val="right" w:pos="5798"/>
        </w:tabs>
        <w:rPr>
          <w:szCs w:val="22"/>
          <w:lang w:val="lv-LV"/>
        </w:rPr>
      </w:pPr>
      <w:r w:rsidRPr="006B4B9C">
        <w:rPr>
          <w:szCs w:val="22"/>
          <w:lang w:val="lv-LV"/>
        </w:rPr>
        <w:t>P</w:t>
      </w:r>
      <w:r w:rsidR="001C38DD" w:rsidRPr="006B4B9C">
        <w:rPr>
          <w:szCs w:val="22"/>
          <w:lang w:val="lv-LV"/>
        </w:rPr>
        <w:t>ienam</w:t>
      </w:r>
      <w:r w:rsidR="00A622BB" w:rsidRPr="006B4B9C">
        <w:rPr>
          <w:szCs w:val="22"/>
          <w:lang w:val="lv-LV"/>
        </w:rPr>
        <w:t>:</w:t>
      </w:r>
      <w:r w:rsidR="00786EA7" w:rsidRPr="006B4B9C">
        <w:rPr>
          <w:szCs w:val="22"/>
          <w:lang w:val="lv-LV"/>
        </w:rPr>
        <w:t xml:space="preserve"> </w:t>
      </w:r>
      <w:r w:rsidR="00A622BB" w:rsidRPr="006B4B9C">
        <w:rPr>
          <w:szCs w:val="22"/>
          <w:lang w:val="lv-LV"/>
        </w:rPr>
        <w:t>nulle dienas</w:t>
      </w:r>
      <w:r w:rsidRPr="006B4B9C">
        <w:rPr>
          <w:szCs w:val="22"/>
          <w:lang w:val="lv-LV"/>
        </w:rPr>
        <w:t>.</w:t>
      </w:r>
    </w:p>
    <w:p w14:paraId="60BC3BFE" w14:textId="77777777" w:rsidR="00A622BB" w:rsidRPr="006B4B9C" w:rsidRDefault="00A622BB" w:rsidP="00A622BB">
      <w:pPr>
        <w:tabs>
          <w:tab w:val="left" w:pos="2392"/>
          <w:tab w:val="right" w:pos="5798"/>
        </w:tabs>
        <w:rPr>
          <w:b/>
          <w:color w:val="000000"/>
          <w:szCs w:val="22"/>
          <w:lang w:val="lv-LV"/>
        </w:rPr>
      </w:pPr>
    </w:p>
    <w:p w14:paraId="305678A9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11.</w:t>
      </w:r>
      <w:r w:rsidRPr="006B4B9C">
        <w:rPr>
          <w:b/>
          <w:color w:val="000000"/>
          <w:szCs w:val="22"/>
          <w:lang w:val="lv-LV"/>
        </w:rPr>
        <w:tab/>
        <w:t>ĪPAŠI UZGL</w:t>
      </w:r>
      <w:r w:rsidRPr="006B4B9C">
        <w:rPr>
          <w:b/>
          <w:caps/>
          <w:color w:val="000000"/>
          <w:szCs w:val="22"/>
          <w:lang w:val="lv-LV"/>
        </w:rPr>
        <w:t xml:space="preserve">abāšanaS </w:t>
      </w:r>
      <w:r w:rsidRPr="006B4B9C">
        <w:rPr>
          <w:b/>
          <w:color w:val="000000"/>
          <w:szCs w:val="22"/>
          <w:lang w:val="lv-LV"/>
        </w:rPr>
        <w:t>NORĀDĪJUMI</w:t>
      </w:r>
    </w:p>
    <w:p w14:paraId="005FA8C4" w14:textId="77777777" w:rsidR="00A622BB" w:rsidRPr="006B4B9C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70DA119C" w14:textId="3EC42114" w:rsidR="00A622BB" w:rsidRPr="006B4B9C" w:rsidRDefault="00A622BB" w:rsidP="00A622B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lv-LV"/>
        </w:rPr>
      </w:pPr>
      <w:r w:rsidRPr="006B4B9C">
        <w:rPr>
          <w:noProof/>
          <w:szCs w:val="22"/>
          <w:lang w:val="lv-LV"/>
        </w:rPr>
        <w:lastRenderedPageBreak/>
        <w:t>Uzglabāt bērniem neredzamā</w:t>
      </w:r>
      <w:r w:rsidR="001C38DD" w:rsidRPr="006B4B9C">
        <w:rPr>
          <w:noProof/>
          <w:szCs w:val="22"/>
          <w:lang w:val="lv-LV"/>
        </w:rPr>
        <w:t xml:space="preserve"> un nepieejamā</w:t>
      </w:r>
      <w:r w:rsidRPr="006B4B9C">
        <w:rPr>
          <w:noProof/>
          <w:szCs w:val="22"/>
          <w:lang w:val="lv-LV"/>
        </w:rPr>
        <w:t xml:space="preserve"> vietā.</w:t>
      </w:r>
    </w:p>
    <w:p w14:paraId="254FF72F" w14:textId="77777777" w:rsidR="00A622BB" w:rsidRPr="006B4B9C" w:rsidRDefault="002141E0" w:rsidP="00A622BB">
      <w:pPr>
        <w:tabs>
          <w:tab w:val="clear" w:pos="567"/>
          <w:tab w:val="left" w:pos="572"/>
        </w:tabs>
        <w:rPr>
          <w:color w:val="000000"/>
          <w:szCs w:val="22"/>
          <w:lang w:val="lv-LV"/>
        </w:rPr>
      </w:pPr>
      <w:r w:rsidRPr="006B4B9C">
        <w:rPr>
          <w:bCs/>
          <w:szCs w:val="22"/>
          <w:lang w:val="lv-LV"/>
        </w:rPr>
        <w:t>Neatdzesēt un nesasaldēt</w:t>
      </w:r>
      <w:r w:rsidR="00A622BB" w:rsidRPr="006B4B9C">
        <w:rPr>
          <w:bCs/>
          <w:szCs w:val="22"/>
          <w:lang w:val="lv-LV"/>
        </w:rPr>
        <w:t>. Lietot tikai tīru šķīdumu no neskarta flakona.</w:t>
      </w:r>
    </w:p>
    <w:p w14:paraId="07CA8F95" w14:textId="729E4B44" w:rsidR="00A622BB" w:rsidRPr="006B4B9C" w:rsidRDefault="00A622BB" w:rsidP="00A622BB">
      <w:pPr>
        <w:rPr>
          <w:szCs w:val="22"/>
          <w:lang w:val="lv-LV"/>
        </w:rPr>
      </w:pPr>
      <w:r w:rsidRPr="006B4B9C">
        <w:rPr>
          <w:color w:val="000000"/>
          <w:lang w:val="lv-LV"/>
        </w:rPr>
        <w:t>Nelietot</w:t>
      </w:r>
      <w:r w:rsidR="006B4B9C" w:rsidRPr="006B4B9C">
        <w:rPr>
          <w:color w:val="000000"/>
          <w:lang w:val="lv-LV"/>
        </w:rPr>
        <w:t xml:space="preserve"> </w:t>
      </w:r>
      <w:r w:rsidR="006B4B9C" w:rsidRPr="003E7414">
        <w:rPr>
          <w:color w:val="000000"/>
          <w:lang w:val="lv-LV"/>
        </w:rPr>
        <w:t>šīs veterinārās zāles</w:t>
      </w:r>
      <w:r w:rsidRPr="006B4B9C">
        <w:rPr>
          <w:color w:val="000000"/>
          <w:lang w:val="lv-LV"/>
        </w:rPr>
        <w:t>, ja beidzies derīguma termiņš</w:t>
      </w:r>
      <w:r w:rsidRPr="006B4B9C">
        <w:rPr>
          <w:szCs w:val="22"/>
          <w:lang w:val="lv-LV"/>
        </w:rPr>
        <w:t>, kas norādīts uz iepakojuma</w:t>
      </w:r>
      <w:r w:rsidR="001C38DD" w:rsidRPr="006B4B9C">
        <w:rPr>
          <w:szCs w:val="22"/>
          <w:lang w:val="lv-LV"/>
        </w:rPr>
        <w:t xml:space="preserve"> pēc EXP</w:t>
      </w:r>
      <w:r w:rsidRPr="006B4B9C">
        <w:rPr>
          <w:szCs w:val="22"/>
          <w:lang w:val="lv-LV"/>
        </w:rPr>
        <w:t>.</w:t>
      </w:r>
    </w:p>
    <w:p w14:paraId="00F301E0" w14:textId="77777777" w:rsidR="001C38DD" w:rsidRPr="006B4B9C" w:rsidRDefault="001C38DD" w:rsidP="00A622BB">
      <w:pPr>
        <w:rPr>
          <w:szCs w:val="22"/>
          <w:lang w:val="lv-LV"/>
        </w:rPr>
      </w:pPr>
    </w:p>
    <w:p w14:paraId="059BB171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12.</w:t>
      </w:r>
      <w:r w:rsidRPr="006B4B9C">
        <w:rPr>
          <w:b/>
          <w:color w:val="000000"/>
          <w:szCs w:val="22"/>
          <w:lang w:val="lv-LV"/>
        </w:rPr>
        <w:tab/>
        <w:t>ĪPAŠI BRĪDINĀJUMI</w:t>
      </w:r>
    </w:p>
    <w:p w14:paraId="40F2DEF8" w14:textId="1EDBB46E" w:rsidR="00A622BB" w:rsidRPr="006B4B9C" w:rsidRDefault="00A622BB" w:rsidP="00A622BB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val="lv-LV"/>
        </w:rPr>
      </w:pPr>
    </w:p>
    <w:p w14:paraId="4060A7CB" w14:textId="7F82E309" w:rsidR="007372AF" w:rsidRPr="006B4B9C" w:rsidRDefault="007372AF" w:rsidP="007372AF">
      <w:pPr>
        <w:tabs>
          <w:tab w:val="left" w:pos="0"/>
        </w:tabs>
        <w:ind w:firstLine="26"/>
        <w:jc w:val="both"/>
        <w:rPr>
          <w:szCs w:val="22"/>
          <w:lang w:val="lv-LV"/>
        </w:rPr>
      </w:pPr>
      <w:r w:rsidRPr="006B4B9C">
        <w:rPr>
          <w:szCs w:val="22"/>
          <w:u w:val="single"/>
          <w:lang w:val="lv-LV"/>
        </w:rPr>
        <w:t xml:space="preserve">Īpaši </w:t>
      </w:r>
      <w:r w:rsidR="006B4B9C" w:rsidRPr="006B4B9C">
        <w:rPr>
          <w:color w:val="000000"/>
          <w:szCs w:val="22"/>
          <w:u w:val="single"/>
          <w:lang w:val="lv-LV" w:eastAsia="lv-LV"/>
        </w:rPr>
        <w:t>piesardzības pasākumi</w:t>
      </w:r>
      <w:r w:rsidR="006B4B9C">
        <w:rPr>
          <w:color w:val="000000"/>
          <w:szCs w:val="22"/>
          <w:u w:val="single"/>
          <w:lang w:val="lv-LV" w:eastAsia="lv-LV"/>
        </w:rPr>
        <w:t>,</w:t>
      </w:r>
      <w:r w:rsidR="006B4B9C" w:rsidRPr="006B4B9C" w:rsidDel="006B4B9C">
        <w:rPr>
          <w:szCs w:val="22"/>
          <w:u w:val="single"/>
          <w:lang w:val="lv-LV"/>
        </w:rPr>
        <w:t xml:space="preserve"> </w:t>
      </w:r>
      <w:r w:rsidRPr="006B4B9C">
        <w:rPr>
          <w:szCs w:val="22"/>
          <w:u w:val="single"/>
          <w:lang w:val="lv-LV"/>
        </w:rPr>
        <w:t>lieto</w:t>
      </w:r>
      <w:r w:rsidR="006B4B9C">
        <w:rPr>
          <w:szCs w:val="22"/>
          <w:u w:val="single"/>
          <w:lang w:val="lv-LV"/>
        </w:rPr>
        <w:t>jot</w:t>
      </w:r>
      <w:r w:rsidRPr="006B4B9C">
        <w:rPr>
          <w:szCs w:val="22"/>
          <w:u w:val="single"/>
          <w:lang w:val="lv-LV"/>
        </w:rPr>
        <w:t xml:space="preserve"> dzīvniekiem</w:t>
      </w:r>
      <w:r w:rsidRPr="006B4B9C">
        <w:rPr>
          <w:szCs w:val="22"/>
          <w:lang w:val="lv-LV"/>
        </w:rPr>
        <w:t>:</w:t>
      </w:r>
    </w:p>
    <w:p w14:paraId="5711ED36" w14:textId="10FC5E7C" w:rsidR="007372AF" w:rsidRDefault="007372AF" w:rsidP="007372AF">
      <w:pPr>
        <w:tabs>
          <w:tab w:val="left" w:pos="0"/>
        </w:tabs>
        <w:ind w:firstLine="26"/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>Intravenozā ievadīšana jāveic</w:t>
      </w:r>
      <w:r w:rsidR="008D1889" w:rsidRPr="006B4B9C">
        <w:rPr>
          <w:szCs w:val="22"/>
          <w:lang w:val="lv-LV"/>
        </w:rPr>
        <w:t xml:space="preserve"> lēnām. </w:t>
      </w:r>
      <w:r w:rsidRPr="006B4B9C">
        <w:rPr>
          <w:szCs w:val="22"/>
          <w:lang w:val="lv-LV"/>
        </w:rPr>
        <w:t xml:space="preserve">Pārdozēšanas gadījumā (īpaši ja parādās sirdsdarbības traucējumi, asinsspiediena </w:t>
      </w:r>
      <w:r w:rsidR="006B4B9C">
        <w:rPr>
          <w:szCs w:val="22"/>
          <w:lang w:val="lv-LV"/>
        </w:rPr>
        <w:t>samazināšanās</w:t>
      </w:r>
      <w:r w:rsidRPr="006B4B9C">
        <w:rPr>
          <w:szCs w:val="22"/>
          <w:lang w:val="lv-LV"/>
        </w:rPr>
        <w:t>, uzbudinājums) infūzij</w:t>
      </w:r>
      <w:r w:rsidR="006B4B9C">
        <w:rPr>
          <w:szCs w:val="22"/>
          <w:lang w:val="lv-LV"/>
        </w:rPr>
        <w:t>u</w:t>
      </w:r>
      <w:r w:rsidRPr="006B4B9C">
        <w:rPr>
          <w:szCs w:val="22"/>
          <w:lang w:val="lv-LV"/>
        </w:rPr>
        <w:t xml:space="preserve"> nekavējoties pārtrau</w:t>
      </w:r>
      <w:r w:rsidR="006B4B9C">
        <w:rPr>
          <w:szCs w:val="22"/>
          <w:lang w:val="lv-LV"/>
        </w:rPr>
        <w:t>kt</w:t>
      </w:r>
      <w:r w:rsidRPr="006B4B9C">
        <w:rPr>
          <w:szCs w:val="22"/>
          <w:lang w:val="lv-LV"/>
        </w:rPr>
        <w:t>.</w:t>
      </w:r>
    </w:p>
    <w:p w14:paraId="5821308C" w14:textId="4F6A6BD5" w:rsidR="00374D90" w:rsidRPr="006B4B9C" w:rsidRDefault="00374D90" w:rsidP="007372AF">
      <w:pPr>
        <w:tabs>
          <w:tab w:val="left" w:pos="0"/>
        </w:tabs>
        <w:ind w:firstLine="26"/>
        <w:jc w:val="both"/>
        <w:rPr>
          <w:szCs w:val="22"/>
          <w:lang w:val="lv-LV"/>
        </w:rPr>
      </w:pPr>
      <w:r w:rsidRPr="00374D90">
        <w:rPr>
          <w:szCs w:val="22"/>
          <w:lang w:val="lv-LV"/>
        </w:rPr>
        <w:t xml:space="preserve">Pirms </w:t>
      </w:r>
      <w:proofErr w:type="spellStart"/>
      <w:r w:rsidRPr="00374D90">
        <w:rPr>
          <w:szCs w:val="22"/>
          <w:lang w:val="lv-LV"/>
        </w:rPr>
        <w:t>lietošanas</w:t>
      </w:r>
      <w:proofErr w:type="spellEnd"/>
      <w:r w:rsidRPr="00374D90">
        <w:rPr>
          <w:szCs w:val="22"/>
          <w:lang w:val="lv-LV"/>
        </w:rPr>
        <w:t xml:space="preserve"> </w:t>
      </w:r>
      <w:proofErr w:type="spellStart"/>
      <w:r w:rsidRPr="00374D90">
        <w:rPr>
          <w:szCs w:val="22"/>
          <w:lang w:val="lv-LV"/>
        </w:rPr>
        <w:t>šķīdumu</w:t>
      </w:r>
      <w:proofErr w:type="spellEnd"/>
      <w:r w:rsidRPr="00374D90">
        <w:rPr>
          <w:szCs w:val="22"/>
          <w:lang w:val="lv-LV"/>
        </w:rPr>
        <w:t xml:space="preserve"> </w:t>
      </w:r>
      <w:proofErr w:type="spellStart"/>
      <w:r w:rsidRPr="00374D90">
        <w:rPr>
          <w:szCs w:val="22"/>
          <w:lang w:val="lv-LV"/>
        </w:rPr>
        <w:t>sasildīt</w:t>
      </w:r>
      <w:proofErr w:type="spellEnd"/>
      <w:r w:rsidRPr="00374D90">
        <w:rPr>
          <w:szCs w:val="22"/>
          <w:lang w:val="lv-LV"/>
        </w:rPr>
        <w:t xml:space="preserve"> </w:t>
      </w:r>
      <w:proofErr w:type="spellStart"/>
      <w:r w:rsidRPr="00374D90">
        <w:rPr>
          <w:szCs w:val="22"/>
          <w:lang w:val="lv-LV"/>
        </w:rPr>
        <w:t>līdz</w:t>
      </w:r>
      <w:proofErr w:type="spellEnd"/>
      <w:r w:rsidRPr="00374D90">
        <w:rPr>
          <w:szCs w:val="22"/>
          <w:lang w:val="lv-LV"/>
        </w:rPr>
        <w:t xml:space="preserve"> </w:t>
      </w:r>
      <w:proofErr w:type="spellStart"/>
      <w:r w:rsidRPr="00374D90">
        <w:rPr>
          <w:szCs w:val="22"/>
          <w:lang w:val="lv-LV"/>
        </w:rPr>
        <w:t>ķermeņa</w:t>
      </w:r>
      <w:proofErr w:type="spellEnd"/>
      <w:r w:rsidRPr="00374D90">
        <w:rPr>
          <w:szCs w:val="22"/>
          <w:lang w:val="lv-LV"/>
        </w:rPr>
        <w:t xml:space="preserve"> </w:t>
      </w:r>
      <w:proofErr w:type="spellStart"/>
      <w:r w:rsidRPr="00374D90">
        <w:rPr>
          <w:szCs w:val="22"/>
          <w:lang w:val="lv-LV"/>
        </w:rPr>
        <w:t>temperatūrai</w:t>
      </w:r>
      <w:proofErr w:type="spellEnd"/>
      <w:r w:rsidRPr="00374D90">
        <w:rPr>
          <w:szCs w:val="22"/>
          <w:lang w:val="lv-LV"/>
        </w:rPr>
        <w:t>.</w:t>
      </w:r>
    </w:p>
    <w:p w14:paraId="0A08A54F" w14:textId="77777777" w:rsidR="00CC17D2" w:rsidRPr="006B4B9C" w:rsidRDefault="00CC17D2" w:rsidP="007372AF">
      <w:pPr>
        <w:tabs>
          <w:tab w:val="clear" w:pos="567"/>
        </w:tabs>
        <w:spacing w:line="240" w:lineRule="auto"/>
        <w:rPr>
          <w:szCs w:val="22"/>
          <w:lang w:val="lv-LV"/>
        </w:rPr>
      </w:pPr>
      <w:bookmarkStart w:id="1" w:name="_Hlk5373828"/>
    </w:p>
    <w:p w14:paraId="65C621FB" w14:textId="2BDA2AE7" w:rsidR="007372AF" w:rsidRDefault="00CC17D2" w:rsidP="007372AF">
      <w:pPr>
        <w:tabs>
          <w:tab w:val="clear" w:pos="567"/>
        </w:tabs>
        <w:spacing w:line="240" w:lineRule="auto"/>
        <w:rPr>
          <w:szCs w:val="22"/>
          <w:u w:val="single"/>
          <w:lang w:val="lv-LV"/>
        </w:rPr>
      </w:pPr>
      <w:r w:rsidRPr="00ED2A92">
        <w:rPr>
          <w:szCs w:val="22"/>
          <w:u w:val="single"/>
          <w:lang w:val="lv-LV"/>
        </w:rPr>
        <w:t>Grūsnība un laktācija</w:t>
      </w:r>
      <w:bookmarkEnd w:id="1"/>
      <w:r w:rsidRPr="00ED2A92">
        <w:rPr>
          <w:szCs w:val="22"/>
          <w:u w:val="single"/>
          <w:lang w:val="lv-LV"/>
        </w:rPr>
        <w:t>:</w:t>
      </w:r>
    </w:p>
    <w:p w14:paraId="6BACA35A" w14:textId="2291F165" w:rsidR="006B4B9C" w:rsidRPr="00ED2A92" w:rsidRDefault="006B4B9C" w:rsidP="007372AF">
      <w:pPr>
        <w:tabs>
          <w:tab w:val="clear" w:pos="567"/>
        </w:tabs>
        <w:spacing w:line="240" w:lineRule="auto"/>
        <w:rPr>
          <w:szCs w:val="22"/>
          <w:u w:val="single"/>
          <w:lang w:val="lv-LV"/>
        </w:rPr>
      </w:pPr>
      <w:r w:rsidRPr="00EB2AB3">
        <w:rPr>
          <w:color w:val="000000"/>
          <w:lang w:val="lv-LV"/>
        </w:rPr>
        <w:t>Nav pierādīts šo veterināro zāļu nekaitīgums grūsnības un laktācijas laikā</w:t>
      </w:r>
      <w:r w:rsidRPr="00EB2AB3">
        <w:rPr>
          <w:bCs/>
          <w:szCs w:val="22"/>
          <w:lang w:val="lv-LV"/>
        </w:rPr>
        <w:t>.</w:t>
      </w:r>
    </w:p>
    <w:p w14:paraId="7445CA2F" w14:textId="77777777" w:rsidR="00CC17D2" w:rsidRPr="006B4B9C" w:rsidRDefault="00CC17D2" w:rsidP="007372AF">
      <w:pPr>
        <w:tabs>
          <w:tab w:val="clear" w:pos="567"/>
        </w:tabs>
        <w:spacing w:line="240" w:lineRule="auto"/>
        <w:rPr>
          <w:szCs w:val="22"/>
          <w:u w:val="single"/>
          <w:lang w:val="lv-LV"/>
        </w:rPr>
      </w:pPr>
    </w:p>
    <w:p w14:paraId="7D129390" w14:textId="204C466E" w:rsidR="007372AF" w:rsidRPr="006B4B9C" w:rsidRDefault="007372AF" w:rsidP="007372AF">
      <w:pPr>
        <w:tabs>
          <w:tab w:val="clear" w:pos="567"/>
        </w:tabs>
        <w:spacing w:line="240" w:lineRule="auto"/>
        <w:rPr>
          <w:szCs w:val="22"/>
          <w:lang w:val="lv-LV"/>
        </w:rPr>
      </w:pPr>
      <w:r w:rsidRPr="006B4B9C">
        <w:rPr>
          <w:szCs w:val="22"/>
          <w:u w:val="single"/>
          <w:lang w:val="lv-LV"/>
        </w:rPr>
        <w:t>Mijiedarbība ar citām zālēm un citi mijiedarbības veidi:</w:t>
      </w:r>
    </w:p>
    <w:p w14:paraId="4CB40568" w14:textId="31B5472B" w:rsidR="00CF0AD2" w:rsidRPr="006B4B9C" w:rsidRDefault="00A622BB" w:rsidP="00A622BB">
      <w:pPr>
        <w:jc w:val="both"/>
        <w:rPr>
          <w:szCs w:val="22"/>
          <w:lang w:val="lv-LV"/>
        </w:rPr>
      </w:pPr>
      <w:r w:rsidRPr="006B4B9C">
        <w:rPr>
          <w:szCs w:val="22"/>
          <w:lang w:val="lv-LV"/>
        </w:rPr>
        <w:t xml:space="preserve">Kalcijs pastiprina sirds glikozīdu iedarbību. Pastiprina </w:t>
      </w:r>
      <w:r w:rsidRPr="006B4B9C">
        <w:rPr>
          <w:rFonts w:ascii="Symbol" w:hAnsi="Symbol"/>
          <w:szCs w:val="22"/>
          <w:lang w:val="lv-LV"/>
        </w:rPr>
        <w:t></w:t>
      </w:r>
      <w:r w:rsidRPr="006B4B9C">
        <w:rPr>
          <w:szCs w:val="22"/>
          <w:lang w:val="lv-LV"/>
        </w:rPr>
        <w:t xml:space="preserve">-adrenerģētiķu un metilksantīnu iedarbību uz sirdi. Glikokortikoīdi kā D vitamīna antagonisti, pastiprina kalcija izdalīšanos caur nierēm. </w:t>
      </w:r>
    </w:p>
    <w:p w14:paraId="314037A1" w14:textId="77777777" w:rsidR="007372AF" w:rsidRPr="006B4B9C" w:rsidRDefault="007372AF" w:rsidP="00A622BB">
      <w:pPr>
        <w:ind w:left="26"/>
        <w:jc w:val="both"/>
        <w:rPr>
          <w:szCs w:val="22"/>
          <w:u w:val="single"/>
          <w:lang w:val="lv-LV"/>
        </w:rPr>
      </w:pPr>
    </w:p>
    <w:p w14:paraId="07A2F4F5" w14:textId="77777777" w:rsidR="007372AF" w:rsidRPr="006B4B9C" w:rsidRDefault="007372AF" w:rsidP="00A622BB">
      <w:pPr>
        <w:ind w:left="26"/>
        <w:jc w:val="both"/>
        <w:rPr>
          <w:szCs w:val="22"/>
          <w:lang w:val="lv-LV"/>
        </w:rPr>
      </w:pPr>
      <w:r w:rsidRPr="006B4B9C">
        <w:rPr>
          <w:szCs w:val="22"/>
          <w:u w:val="single"/>
          <w:lang w:val="lv-LV"/>
        </w:rPr>
        <w:t>Pārdozēšana (simptomi, rīcība ārkārtas situācijā, antidoti)</w:t>
      </w:r>
      <w:r w:rsidRPr="006B4B9C">
        <w:rPr>
          <w:szCs w:val="22"/>
          <w:lang w:val="lv-LV"/>
        </w:rPr>
        <w:t>:</w:t>
      </w:r>
    </w:p>
    <w:p w14:paraId="119C09D6" w14:textId="218A1AFE" w:rsidR="00A622BB" w:rsidRPr="006B4B9C" w:rsidRDefault="00A622BB" w:rsidP="00A622BB">
      <w:pPr>
        <w:ind w:left="26"/>
        <w:jc w:val="both"/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>Pārāk strauja ievadīšana vai pārdozēšana va</w:t>
      </w:r>
      <w:r w:rsidR="008E768E">
        <w:rPr>
          <w:color w:val="000000"/>
          <w:szCs w:val="22"/>
          <w:lang w:val="lv-LV"/>
        </w:rPr>
        <w:t>r</w:t>
      </w:r>
      <w:r w:rsidRPr="006B4B9C">
        <w:rPr>
          <w:color w:val="000000"/>
          <w:szCs w:val="22"/>
          <w:lang w:val="lv-LV"/>
        </w:rPr>
        <w:t xml:space="preserve"> izraisīt </w:t>
      </w:r>
      <w:proofErr w:type="spellStart"/>
      <w:r w:rsidRPr="006B4B9C">
        <w:rPr>
          <w:color w:val="000000"/>
          <w:szCs w:val="22"/>
          <w:lang w:val="lv-LV"/>
        </w:rPr>
        <w:t>hiperkalcēmiju</w:t>
      </w:r>
      <w:proofErr w:type="spellEnd"/>
      <w:r w:rsidRPr="006B4B9C">
        <w:rPr>
          <w:color w:val="000000"/>
          <w:szCs w:val="22"/>
          <w:lang w:val="lv-LV"/>
        </w:rPr>
        <w:t xml:space="preserve"> un/vai </w:t>
      </w:r>
      <w:proofErr w:type="spellStart"/>
      <w:r w:rsidRPr="006B4B9C">
        <w:rPr>
          <w:color w:val="000000"/>
          <w:szCs w:val="22"/>
          <w:lang w:val="lv-LV"/>
        </w:rPr>
        <w:t>hipermagnēmiju</w:t>
      </w:r>
      <w:proofErr w:type="spellEnd"/>
      <w:r w:rsidRPr="006B4B9C">
        <w:rPr>
          <w:color w:val="000000"/>
          <w:szCs w:val="22"/>
          <w:lang w:val="lv-LV"/>
        </w:rPr>
        <w:t xml:space="preserve"> ar kardiotoksiskiem simptomiem, tādiem kā tahikardija, kas seko bradikardijai, sirds ritma traucējumi, smagos gadījumos sirds </w:t>
      </w:r>
      <w:r w:rsidR="00125DB4" w:rsidRPr="006B4B9C">
        <w:rPr>
          <w:color w:val="000000"/>
          <w:szCs w:val="22"/>
          <w:lang w:val="lv-LV"/>
        </w:rPr>
        <w:t xml:space="preserve">ventrikulāra </w:t>
      </w:r>
      <w:r w:rsidRPr="006B4B9C">
        <w:rPr>
          <w:color w:val="000000"/>
          <w:szCs w:val="22"/>
          <w:lang w:val="lv-LV"/>
        </w:rPr>
        <w:t xml:space="preserve">fibrillācija ar sirds </w:t>
      </w:r>
      <w:r w:rsidR="005D0975" w:rsidRPr="006B4B9C">
        <w:rPr>
          <w:color w:val="000000"/>
          <w:szCs w:val="22"/>
          <w:lang w:val="lv-LV"/>
        </w:rPr>
        <w:t>apstāšanos</w:t>
      </w:r>
      <w:r w:rsidRPr="006B4B9C">
        <w:rPr>
          <w:color w:val="000000"/>
          <w:szCs w:val="22"/>
          <w:lang w:val="lv-LV"/>
        </w:rPr>
        <w:t xml:space="preserve">. </w:t>
      </w:r>
      <w:r w:rsidR="00125DB4" w:rsidRPr="006B4B9C">
        <w:rPr>
          <w:color w:val="000000"/>
          <w:szCs w:val="22"/>
          <w:lang w:val="lv-LV"/>
        </w:rPr>
        <w:t xml:space="preserve">Var būt sekojoši </w:t>
      </w:r>
      <w:r w:rsidRPr="006B4B9C">
        <w:rPr>
          <w:color w:val="000000"/>
          <w:szCs w:val="22"/>
          <w:lang w:val="lv-LV"/>
        </w:rPr>
        <w:t xml:space="preserve">hiperkalcēmijas simptomi: muskuļu vājums un tremors, pastiprināta uzbudināmība, svīšana, </w:t>
      </w:r>
      <w:proofErr w:type="spellStart"/>
      <w:r w:rsidRPr="006B4B9C">
        <w:rPr>
          <w:color w:val="000000"/>
          <w:szCs w:val="22"/>
          <w:lang w:val="lv-LV"/>
        </w:rPr>
        <w:t>poliūrija</w:t>
      </w:r>
      <w:proofErr w:type="spellEnd"/>
      <w:r w:rsidRPr="006B4B9C">
        <w:rPr>
          <w:color w:val="000000"/>
          <w:szCs w:val="22"/>
          <w:lang w:val="lv-LV"/>
        </w:rPr>
        <w:t xml:space="preserve">, asinsspiediena samazināšanās, </w:t>
      </w:r>
      <w:r w:rsidR="006B4B9C" w:rsidRPr="00314FD8">
        <w:rPr>
          <w:color w:val="000000"/>
          <w:szCs w:val="22"/>
          <w:lang w:val="lv-LV"/>
        </w:rPr>
        <w:t>nomākums</w:t>
      </w:r>
      <w:r w:rsidRPr="006B4B9C">
        <w:rPr>
          <w:color w:val="000000"/>
          <w:szCs w:val="22"/>
          <w:lang w:val="lv-LV"/>
        </w:rPr>
        <w:t xml:space="preserve">, kā arī koma. </w:t>
      </w:r>
    </w:p>
    <w:p w14:paraId="2A321E60" w14:textId="77777777" w:rsidR="00A622BB" w:rsidRPr="006B4B9C" w:rsidRDefault="00A622BB" w:rsidP="00A622BB">
      <w:pPr>
        <w:tabs>
          <w:tab w:val="left" w:pos="2268"/>
          <w:tab w:val="left" w:pos="5103"/>
        </w:tabs>
        <w:ind w:left="26"/>
        <w:jc w:val="both"/>
        <w:rPr>
          <w:bCs/>
          <w:szCs w:val="22"/>
          <w:lang w:val="lv-LV"/>
        </w:rPr>
      </w:pPr>
      <w:r w:rsidRPr="006B4B9C">
        <w:rPr>
          <w:color w:val="000000"/>
          <w:szCs w:val="22"/>
          <w:lang w:val="lv-LV"/>
        </w:rPr>
        <w:t xml:space="preserve">Šādā gadījumā nekavējoties ir jāpārtrauc </w:t>
      </w:r>
      <w:r w:rsidR="00121480" w:rsidRPr="006B4B9C">
        <w:rPr>
          <w:color w:val="000000"/>
          <w:szCs w:val="22"/>
          <w:lang w:val="lv-LV"/>
        </w:rPr>
        <w:t xml:space="preserve">zāļu </w:t>
      </w:r>
      <w:r w:rsidRPr="006B4B9C">
        <w:rPr>
          <w:color w:val="000000"/>
          <w:szCs w:val="22"/>
          <w:lang w:val="lv-LV"/>
        </w:rPr>
        <w:t>ievadīšana. Hiperkalcēmijas simptomi var parādīties arī 6 – 10 stundas pēc infūzijas, un šīs pazīmes nedrīkst sajaukt ar atkārtotu hipokalcēmiju</w:t>
      </w:r>
      <w:r w:rsidR="00121480" w:rsidRPr="006B4B9C">
        <w:rPr>
          <w:color w:val="000000"/>
          <w:szCs w:val="22"/>
          <w:lang w:val="lv-LV"/>
        </w:rPr>
        <w:t>, jo</w:t>
      </w:r>
      <w:r w:rsidRPr="006B4B9C">
        <w:rPr>
          <w:color w:val="000000"/>
          <w:szCs w:val="22"/>
          <w:lang w:val="lv-LV"/>
        </w:rPr>
        <w:t xml:space="preserve"> </w:t>
      </w:r>
      <w:r w:rsidR="00121480" w:rsidRPr="006B4B9C">
        <w:rPr>
          <w:color w:val="000000"/>
          <w:szCs w:val="22"/>
          <w:lang w:val="lv-LV"/>
        </w:rPr>
        <w:t>simptomi ir līdzīgi</w:t>
      </w:r>
      <w:r w:rsidRPr="006B4B9C">
        <w:rPr>
          <w:color w:val="000000"/>
          <w:szCs w:val="22"/>
          <w:lang w:val="lv-LV"/>
        </w:rPr>
        <w:t xml:space="preserve">. </w:t>
      </w:r>
    </w:p>
    <w:p w14:paraId="5FC4153A" w14:textId="77777777" w:rsidR="007372AF" w:rsidRPr="006B4B9C" w:rsidRDefault="007372AF" w:rsidP="00A622BB">
      <w:pPr>
        <w:jc w:val="both"/>
        <w:rPr>
          <w:szCs w:val="22"/>
          <w:u w:val="single"/>
          <w:lang w:val="lv-LV"/>
        </w:rPr>
      </w:pPr>
    </w:p>
    <w:p w14:paraId="006F2F6F" w14:textId="77777777" w:rsidR="00A622BB" w:rsidRPr="006B4B9C" w:rsidRDefault="00A622BB" w:rsidP="00A622BB">
      <w:pPr>
        <w:jc w:val="both"/>
        <w:rPr>
          <w:szCs w:val="22"/>
          <w:lang w:val="lv-LV"/>
        </w:rPr>
      </w:pPr>
      <w:r w:rsidRPr="006B4B9C">
        <w:rPr>
          <w:szCs w:val="22"/>
          <w:u w:val="single"/>
          <w:lang w:val="lv-LV"/>
        </w:rPr>
        <w:t>Nesaderība:</w:t>
      </w:r>
      <w:r w:rsidRPr="006B4B9C">
        <w:rPr>
          <w:szCs w:val="22"/>
          <w:lang w:val="lv-LV"/>
        </w:rPr>
        <w:t xml:space="preserve"> </w:t>
      </w:r>
    </w:p>
    <w:p w14:paraId="447B753D" w14:textId="6CEF09DA" w:rsidR="00A622BB" w:rsidRPr="006B4B9C" w:rsidRDefault="006B4B9C" w:rsidP="00A622BB">
      <w:pPr>
        <w:jc w:val="both"/>
        <w:rPr>
          <w:szCs w:val="22"/>
          <w:lang w:val="lv-LV"/>
        </w:rPr>
      </w:pPr>
      <w:r w:rsidRPr="006F2AC1">
        <w:rPr>
          <w:color w:val="000000"/>
          <w:lang w:val="lv-LV"/>
        </w:rPr>
        <w:t xml:space="preserve">Tā kā nav veikti saderības pētījumi, šīs veterinārās zāles nedrīkst </w:t>
      </w:r>
      <w:r w:rsidR="00A622BB" w:rsidRPr="006B4B9C">
        <w:rPr>
          <w:szCs w:val="22"/>
          <w:lang w:val="lv-LV"/>
        </w:rPr>
        <w:t xml:space="preserve">lietot </w:t>
      </w:r>
      <w:r w:rsidR="00786EA7" w:rsidRPr="006B4B9C">
        <w:rPr>
          <w:szCs w:val="22"/>
          <w:lang w:val="lv-LV"/>
        </w:rPr>
        <w:t xml:space="preserve">maisījumā </w:t>
      </w:r>
      <w:r w:rsidR="00A622BB" w:rsidRPr="006B4B9C">
        <w:rPr>
          <w:szCs w:val="22"/>
          <w:lang w:val="lv-LV"/>
        </w:rPr>
        <w:t>ar cit</w:t>
      </w:r>
      <w:r w:rsidR="00CF0AD2" w:rsidRPr="006B4B9C">
        <w:rPr>
          <w:szCs w:val="22"/>
          <w:lang w:val="lv-LV"/>
        </w:rPr>
        <w:t>ām</w:t>
      </w:r>
      <w:r w:rsidR="00540494" w:rsidRPr="006B4B9C">
        <w:rPr>
          <w:szCs w:val="22"/>
          <w:lang w:val="lv-LV"/>
        </w:rPr>
        <w:t xml:space="preserve"> veterinārajām</w:t>
      </w:r>
      <w:r w:rsidR="00CF0AD2" w:rsidRPr="006B4B9C">
        <w:rPr>
          <w:szCs w:val="22"/>
          <w:lang w:val="lv-LV"/>
        </w:rPr>
        <w:t xml:space="preserve"> zālēm</w:t>
      </w:r>
      <w:r w:rsidR="00A622BB" w:rsidRPr="006B4B9C">
        <w:rPr>
          <w:szCs w:val="22"/>
          <w:lang w:val="lv-LV"/>
        </w:rPr>
        <w:t>.</w:t>
      </w:r>
    </w:p>
    <w:p w14:paraId="4F4D7CAD" w14:textId="4E1F6FD1" w:rsidR="00A622BB" w:rsidRDefault="00A622BB" w:rsidP="00A622BB">
      <w:pPr>
        <w:jc w:val="both"/>
        <w:rPr>
          <w:color w:val="000000"/>
          <w:szCs w:val="22"/>
          <w:lang w:val="lv-LV"/>
        </w:rPr>
      </w:pPr>
    </w:p>
    <w:p w14:paraId="2711904D" w14:textId="77777777" w:rsidR="006B4B9C" w:rsidRPr="006B4B9C" w:rsidRDefault="006B4B9C" w:rsidP="00A622BB">
      <w:pPr>
        <w:jc w:val="both"/>
        <w:rPr>
          <w:color w:val="000000"/>
          <w:szCs w:val="22"/>
          <w:lang w:val="lv-LV"/>
        </w:rPr>
      </w:pPr>
    </w:p>
    <w:p w14:paraId="6AB4E425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13.</w:t>
      </w:r>
      <w:r w:rsidRPr="006B4B9C">
        <w:rPr>
          <w:b/>
          <w:color w:val="000000"/>
          <w:szCs w:val="22"/>
          <w:lang w:val="lv-LV"/>
        </w:rPr>
        <w:tab/>
      </w:r>
      <w:r w:rsidR="008733A1" w:rsidRPr="006B4B9C">
        <w:rPr>
          <w:b/>
          <w:caps/>
          <w:color w:val="000000"/>
          <w:lang w:val="lv-LV"/>
        </w:rPr>
        <w:t>ĪPAŠI norādījumi neizlietotU VETERINĀRO ZĀĻU vai to atkritumU IZNĪCINĀŠANAI</w:t>
      </w:r>
    </w:p>
    <w:p w14:paraId="38A13D7A" w14:textId="77777777" w:rsidR="00A622BB" w:rsidRPr="006B4B9C" w:rsidRDefault="00A622BB" w:rsidP="00A622BB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val="lv-LV"/>
        </w:rPr>
      </w:pPr>
    </w:p>
    <w:p w14:paraId="1CC04997" w14:textId="2959E8D5" w:rsidR="008733A1" w:rsidRPr="006B4B9C" w:rsidRDefault="00A622BB" w:rsidP="008733A1">
      <w:pPr>
        <w:tabs>
          <w:tab w:val="clear" w:pos="567"/>
        </w:tabs>
        <w:spacing w:line="240" w:lineRule="auto"/>
        <w:ind w:right="-318"/>
        <w:rPr>
          <w:color w:val="000000"/>
          <w:lang w:val="lv-LV"/>
        </w:rPr>
      </w:pPr>
      <w:r w:rsidRPr="006B4B9C">
        <w:rPr>
          <w:color w:val="000000"/>
          <w:szCs w:val="22"/>
          <w:lang w:val="lv-LV"/>
        </w:rPr>
        <w:t>Jebkuras neizlietot</w:t>
      </w:r>
      <w:r w:rsidR="00CC17D2" w:rsidRPr="006B4B9C">
        <w:rPr>
          <w:color w:val="000000"/>
          <w:szCs w:val="22"/>
          <w:lang w:val="lv-LV"/>
        </w:rPr>
        <w:t>a</w:t>
      </w:r>
      <w:r w:rsidRPr="006B4B9C">
        <w:rPr>
          <w:color w:val="000000"/>
          <w:szCs w:val="22"/>
          <w:lang w:val="lv-LV"/>
        </w:rPr>
        <w:t xml:space="preserve">s veterinārās zāles vai to atkritumi jāiznīcina saskaņā </w:t>
      </w:r>
      <w:r w:rsidR="008733A1" w:rsidRPr="006B4B9C">
        <w:rPr>
          <w:color w:val="000000"/>
          <w:lang w:val="lv-LV"/>
        </w:rPr>
        <w:t>ar nacionālajiem tiesību aktiem.</w:t>
      </w:r>
    </w:p>
    <w:p w14:paraId="17D3D849" w14:textId="54F6E039" w:rsidR="00A622BB" w:rsidRPr="006B4B9C" w:rsidRDefault="00A622BB" w:rsidP="00A622BB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val="lv-LV"/>
        </w:rPr>
      </w:pPr>
    </w:p>
    <w:p w14:paraId="1E04C6F2" w14:textId="77777777" w:rsidR="00CC17D2" w:rsidRPr="006B4B9C" w:rsidRDefault="00CC17D2" w:rsidP="00A622BB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val="lv-LV"/>
        </w:rPr>
      </w:pPr>
    </w:p>
    <w:p w14:paraId="351D255D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14.</w:t>
      </w:r>
      <w:r w:rsidRPr="006B4B9C">
        <w:rPr>
          <w:b/>
          <w:color w:val="000000"/>
          <w:szCs w:val="22"/>
          <w:lang w:val="lv-LV"/>
        </w:rPr>
        <w:tab/>
        <w:t>DATUMS, KAD LIETOŠANAS INSTRUKCIJA PĒDĒJO REIZI TIKA APSTIPRINĀTA</w:t>
      </w:r>
    </w:p>
    <w:p w14:paraId="3A2F2725" w14:textId="77777777" w:rsidR="00A622BB" w:rsidRPr="006B4B9C" w:rsidRDefault="00A622BB" w:rsidP="00A622BB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val="lv-LV"/>
        </w:rPr>
      </w:pPr>
    </w:p>
    <w:p w14:paraId="3DFD7F6C" w14:textId="0C4593BF" w:rsidR="00A622BB" w:rsidRPr="00ED2A92" w:rsidRDefault="001C38DD" w:rsidP="00A622BB">
      <w:pPr>
        <w:tabs>
          <w:tab w:val="clear" w:pos="567"/>
        </w:tabs>
        <w:spacing w:line="240" w:lineRule="auto"/>
        <w:ind w:right="-318"/>
        <w:rPr>
          <w:szCs w:val="22"/>
          <w:lang w:val="lv-LV"/>
        </w:rPr>
      </w:pPr>
      <w:r w:rsidRPr="00ED2A92">
        <w:rPr>
          <w:szCs w:val="22"/>
          <w:lang w:val="lv-LV"/>
        </w:rPr>
        <w:t>0</w:t>
      </w:r>
      <w:r w:rsidR="008162E3">
        <w:rPr>
          <w:szCs w:val="22"/>
          <w:lang w:val="lv-LV"/>
        </w:rPr>
        <w:t>5</w:t>
      </w:r>
      <w:r w:rsidR="00A622BB" w:rsidRPr="00ED2A92">
        <w:rPr>
          <w:szCs w:val="22"/>
          <w:lang w:val="lv-LV"/>
        </w:rPr>
        <w:t>/</w:t>
      </w:r>
      <w:r w:rsidRPr="00ED2A92">
        <w:rPr>
          <w:szCs w:val="22"/>
          <w:lang w:val="lv-LV"/>
        </w:rPr>
        <w:t>20</w:t>
      </w:r>
      <w:r w:rsidR="00CC17D2" w:rsidRPr="00ED2A92">
        <w:rPr>
          <w:szCs w:val="22"/>
          <w:lang w:val="lv-LV"/>
        </w:rPr>
        <w:t>20</w:t>
      </w:r>
    </w:p>
    <w:p w14:paraId="410E28ED" w14:textId="4F3EDD9B" w:rsidR="00A622BB" w:rsidRDefault="00A622BB" w:rsidP="00A622BB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val="lv-LV"/>
        </w:rPr>
      </w:pPr>
    </w:p>
    <w:p w14:paraId="39C8670A" w14:textId="77777777" w:rsidR="006B4B9C" w:rsidRPr="006B4B9C" w:rsidRDefault="006B4B9C" w:rsidP="00A622BB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val="lv-LV"/>
        </w:rPr>
      </w:pPr>
    </w:p>
    <w:p w14:paraId="5744EC01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  <w:r w:rsidRPr="006B4B9C">
        <w:rPr>
          <w:b/>
          <w:color w:val="000000"/>
          <w:szCs w:val="22"/>
          <w:lang w:val="lv-LV"/>
        </w:rPr>
        <w:t>15.</w:t>
      </w:r>
      <w:r w:rsidRPr="006B4B9C">
        <w:rPr>
          <w:b/>
          <w:color w:val="000000"/>
          <w:szCs w:val="22"/>
          <w:lang w:val="lv-LV"/>
        </w:rPr>
        <w:tab/>
        <w:t>CITA INFORMĀCIJA</w:t>
      </w:r>
    </w:p>
    <w:p w14:paraId="0A1ECF63" w14:textId="77777777" w:rsidR="00A622BB" w:rsidRPr="006B4B9C" w:rsidRDefault="00A622BB" w:rsidP="00A622BB">
      <w:pPr>
        <w:spacing w:line="240" w:lineRule="auto"/>
        <w:ind w:left="567" w:hanging="567"/>
        <w:rPr>
          <w:b/>
          <w:color w:val="000000"/>
          <w:szCs w:val="22"/>
          <w:lang w:val="lv-LV"/>
        </w:rPr>
      </w:pPr>
    </w:p>
    <w:p w14:paraId="5B06C774" w14:textId="77777777" w:rsidR="00A622BB" w:rsidRPr="006B4B9C" w:rsidRDefault="00A622BB" w:rsidP="00A622BB">
      <w:pPr>
        <w:spacing w:line="240" w:lineRule="auto"/>
        <w:ind w:left="567" w:hanging="567"/>
        <w:rPr>
          <w:color w:val="000000"/>
          <w:szCs w:val="22"/>
          <w:lang w:val="lv-LV"/>
        </w:rPr>
      </w:pPr>
      <w:r w:rsidRPr="006B4B9C">
        <w:rPr>
          <w:color w:val="000000"/>
          <w:szCs w:val="22"/>
          <w:lang w:val="lv-LV"/>
        </w:rPr>
        <w:t>Recepšu veterinārās zāles.</w:t>
      </w:r>
    </w:p>
    <w:p w14:paraId="2E1E99B7" w14:textId="07BC0DC7" w:rsidR="00A622BB" w:rsidRDefault="00A622BB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7B95CE26" w14:textId="77777777" w:rsidR="00433A05" w:rsidRDefault="00433A05" w:rsidP="00433A05">
      <w:pPr>
        <w:pStyle w:val="TextkrperPartIB"/>
        <w:rPr>
          <w:szCs w:val="24"/>
          <w:lang w:val="lv-LV"/>
        </w:rPr>
      </w:pPr>
      <w:r>
        <w:rPr>
          <w:szCs w:val="24"/>
          <w:lang w:val="lv-LV"/>
        </w:rPr>
        <w:t xml:space="preserve">1 flakons ar 500 ml kartona </w:t>
      </w:r>
      <w:r w:rsidRPr="006C627B">
        <w:rPr>
          <w:szCs w:val="24"/>
          <w:lang w:val="lv-LV"/>
        </w:rPr>
        <w:t>kastē</w:t>
      </w:r>
      <w:r>
        <w:rPr>
          <w:szCs w:val="24"/>
          <w:lang w:val="lv-LV"/>
        </w:rPr>
        <w:t>.</w:t>
      </w:r>
    </w:p>
    <w:p w14:paraId="3D128349" w14:textId="77777777" w:rsidR="00433A05" w:rsidRDefault="00433A05" w:rsidP="00433A05">
      <w:pPr>
        <w:pStyle w:val="TextkrperPartIB"/>
        <w:rPr>
          <w:szCs w:val="24"/>
          <w:lang w:val="lv-LV"/>
        </w:rPr>
      </w:pPr>
      <w:r>
        <w:rPr>
          <w:szCs w:val="24"/>
          <w:lang w:val="lv-LV"/>
        </w:rPr>
        <w:t xml:space="preserve">6 flakoni ar 500 ml kartona </w:t>
      </w:r>
      <w:r w:rsidRPr="006C627B">
        <w:rPr>
          <w:szCs w:val="24"/>
          <w:lang w:val="lv-LV"/>
        </w:rPr>
        <w:t>kastē</w:t>
      </w:r>
      <w:r>
        <w:rPr>
          <w:szCs w:val="24"/>
          <w:lang w:val="lv-LV"/>
        </w:rPr>
        <w:t>.</w:t>
      </w:r>
    </w:p>
    <w:p w14:paraId="0A436E8D" w14:textId="77777777" w:rsidR="00433A05" w:rsidRDefault="00433A05" w:rsidP="00433A05">
      <w:pPr>
        <w:pStyle w:val="TextkrperPartIB"/>
        <w:rPr>
          <w:szCs w:val="24"/>
          <w:lang w:val="lv-LV"/>
        </w:rPr>
      </w:pPr>
      <w:r>
        <w:rPr>
          <w:szCs w:val="24"/>
          <w:lang w:val="lv-LV"/>
        </w:rPr>
        <w:t xml:space="preserve">12 flakoni ar 500 ml kartona </w:t>
      </w:r>
      <w:r w:rsidRPr="006C627B">
        <w:rPr>
          <w:szCs w:val="24"/>
          <w:lang w:val="lv-LV"/>
        </w:rPr>
        <w:t>kastē</w:t>
      </w:r>
      <w:r>
        <w:rPr>
          <w:szCs w:val="24"/>
          <w:lang w:val="lv-LV"/>
        </w:rPr>
        <w:t>.</w:t>
      </w:r>
    </w:p>
    <w:p w14:paraId="5876E38C" w14:textId="77777777" w:rsidR="00433A05" w:rsidRDefault="00433A05" w:rsidP="00A622BB">
      <w:pPr>
        <w:tabs>
          <w:tab w:val="clear" w:pos="567"/>
        </w:tabs>
        <w:spacing w:line="240" w:lineRule="auto"/>
        <w:rPr>
          <w:color w:val="000000"/>
          <w:szCs w:val="22"/>
          <w:lang w:val="lv-LV"/>
        </w:rPr>
      </w:pPr>
    </w:p>
    <w:p w14:paraId="469005FC" w14:textId="77BCA6D0" w:rsidR="005200CA" w:rsidRDefault="005200CA" w:rsidP="00A622BB">
      <w:pPr>
        <w:tabs>
          <w:tab w:val="clear" w:pos="567"/>
        </w:tabs>
        <w:spacing w:line="240" w:lineRule="auto"/>
        <w:rPr>
          <w:color w:val="000000"/>
          <w:lang w:val="lv-LV"/>
        </w:rPr>
      </w:pPr>
      <w:r w:rsidRPr="00172307">
        <w:rPr>
          <w:color w:val="000000"/>
          <w:lang w:val="lv-LV"/>
        </w:rPr>
        <w:t>Ne visi iepakojuma izmēri var tikt izplatīti.</w:t>
      </w:r>
    </w:p>
    <w:p w14:paraId="5124CD5F" w14:textId="77777777" w:rsidR="00A3400C" w:rsidRPr="006B4B9C" w:rsidRDefault="00A3400C" w:rsidP="00ED2A92">
      <w:pPr>
        <w:tabs>
          <w:tab w:val="clear" w:pos="567"/>
          <w:tab w:val="left" w:pos="708"/>
        </w:tabs>
        <w:spacing w:line="240" w:lineRule="auto"/>
        <w:ind w:right="-2"/>
        <w:rPr>
          <w:lang w:val="lv-LV"/>
        </w:rPr>
      </w:pPr>
    </w:p>
    <w:sectPr w:rsidR="00A3400C" w:rsidRPr="006B4B9C" w:rsidSect="00C33759">
      <w:headerReference w:type="default" r:id="rId8"/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59CB" w14:textId="77777777" w:rsidR="00102876" w:rsidRDefault="00102876" w:rsidP="00C33759">
      <w:pPr>
        <w:spacing w:line="240" w:lineRule="auto"/>
      </w:pPr>
      <w:r>
        <w:separator/>
      </w:r>
    </w:p>
  </w:endnote>
  <w:endnote w:type="continuationSeparator" w:id="0">
    <w:p w14:paraId="5B5D931D" w14:textId="77777777" w:rsidR="00102876" w:rsidRDefault="00102876" w:rsidP="00C33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5081E" w14:textId="77777777" w:rsidR="0035491B" w:rsidRDefault="0035491B">
    <w:pPr>
      <w:pStyle w:val="Footer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E451713" w14:textId="77777777" w:rsidR="0035491B" w:rsidRDefault="002F6D34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DD09F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4EF0E" w14:textId="77777777" w:rsidR="0035491B" w:rsidRDefault="0035491B">
    <w:pPr>
      <w:pStyle w:val="Footer"/>
      <w:tabs>
        <w:tab w:val="clear" w:pos="8930"/>
        <w:tab w:val="right" w:pos="8931"/>
      </w:tabs>
    </w:pPr>
  </w:p>
  <w:p w14:paraId="5623F68D" w14:textId="77777777" w:rsidR="0035491B" w:rsidRDefault="002F6D34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DD09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D047" w14:textId="77777777" w:rsidR="00102876" w:rsidRDefault="00102876" w:rsidP="00C33759">
      <w:pPr>
        <w:spacing w:line="240" w:lineRule="auto"/>
      </w:pPr>
      <w:r>
        <w:separator/>
      </w:r>
    </w:p>
  </w:footnote>
  <w:footnote w:type="continuationSeparator" w:id="0">
    <w:p w14:paraId="1FECA0D8" w14:textId="77777777" w:rsidR="00102876" w:rsidRDefault="00102876" w:rsidP="00C33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2D21A" w14:textId="77777777" w:rsidR="0035491B" w:rsidRDefault="00354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BB"/>
    <w:rsid w:val="00102876"/>
    <w:rsid w:val="00113358"/>
    <w:rsid w:val="00121480"/>
    <w:rsid w:val="00125DB4"/>
    <w:rsid w:val="001C225F"/>
    <w:rsid w:val="001C38DD"/>
    <w:rsid w:val="001D4485"/>
    <w:rsid w:val="001E772F"/>
    <w:rsid w:val="002141E0"/>
    <w:rsid w:val="00216247"/>
    <w:rsid w:val="002438ED"/>
    <w:rsid w:val="002E51A0"/>
    <w:rsid w:val="002F6D34"/>
    <w:rsid w:val="003255BE"/>
    <w:rsid w:val="00344E34"/>
    <w:rsid w:val="00345F1E"/>
    <w:rsid w:val="0035491B"/>
    <w:rsid w:val="00374D90"/>
    <w:rsid w:val="00433A05"/>
    <w:rsid w:val="004519E5"/>
    <w:rsid w:val="00461CB3"/>
    <w:rsid w:val="005200CA"/>
    <w:rsid w:val="00540494"/>
    <w:rsid w:val="005613A9"/>
    <w:rsid w:val="005D0975"/>
    <w:rsid w:val="0064031E"/>
    <w:rsid w:val="00681647"/>
    <w:rsid w:val="006B4B9C"/>
    <w:rsid w:val="006C2245"/>
    <w:rsid w:val="006D3DDB"/>
    <w:rsid w:val="007348E3"/>
    <w:rsid w:val="007372AF"/>
    <w:rsid w:val="00763019"/>
    <w:rsid w:val="00786EA7"/>
    <w:rsid w:val="008162E3"/>
    <w:rsid w:val="00857679"/>
    <w:rsid w:val="008733A1"/>
    <w:rsid w:val="008B7686"/>
    <w:rsid w:val="008D1889"/>
    <w:rsid w:val="008E768E"/>
    <w:rsid w:val="00901FC0"/>
    <w:rsid w:val="00907FA0"/>
    <w:rsid w:val="00931DED"/>
    <w:rsid w:val="00A3400C"/>
    <w:rsid w:val="00A622BB"/>
    <w:rsid w:val="00B3480C"/>
    <w:rsid w:val="00B763C1"/>
    <w:rsid w:val="00BD1739"/>
    <w:rsid w:val="00C33759"/>
    <w:rsid w:val="00C36520"/>
    <w:rsid w:val="00CC17D2"/>
    <w:rsid w:val="00CF0AD2"/>
    <w:rsid w:val="00CF7C89"/>
    <w:rsid w:val="00D00042"/>
    <w:rsid w:val="00D645A3"/>
    <w:rsid w:val="00DB0A09"/>
    <w:rsid w:val="00DD09F2"/>
    <w:rsid w:val="00E120D6"/>
    <w:rsid w:val="00E82C26"/>
    <w:rsid w:val="00ED2A92"/>
    <w:rsid w:val="00F2742F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D3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BB"/>
    <w:pPr>
      <w:tabs>
        <w:tab w:val="left" w:pos="567"/>
      </w:tabs>
      <w:spacing w:line="260" w:lineRule="exact"/>
    </w:pPr>
    <w:rPr>
      <w:rFonts w:ascii="Times New Roman" w:eastAsia="Times New Roman" w:hAnsi="Times New Roman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22BB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HeaderChar">
    <w:name w:val="Header Char"/>
    <w:link w:val="Header"/>
    <w:semiHidden/>
    <w:rsid w:val="00A622BB"/>
    <w:rPr>
      <w:rFonts w:ascii="Helvetica" w:eastAsia="Times New Roman" w:hAnsi="Helvetic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semiHidden/>
    <w:rsid w:val="00A622BB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ooterChar">
    <w:name w:val="Footer Char"/>
    <w:link w:val="Footer"/>
    <w:semiHidden/>
    <w:rsid w:val="00A622BB"/>
    <w:rPr>
      <w:rFonts w:ascii="Helvetica" w:eastAsia="Times New Roman" w:hAnsi="Helvetica" w:cs="Times New Roman"/>
      <w:sz w:val="16"/>
      <w:szCs w:val="20"/>
      <w:lang w:val="en-GB"/>
    </w:rPr>
  </w:style>
  <w:style w:type="paragraph" w:styleId="BodyText">
    <w:name w:val="Body Text"/>
    <w:basedOn w:val="Normal"/>
    <w:link w:val="BodyTextChar"/>
    <w:semiHidden/>
    <w:rsid w:val="00A622BB"/>
    <w:pPr>
      <w:tabs>
        <w:tab w:val="clear" w:pos="567"/>
      </w:tabs>
      <w:spacing w:line="240" w:lineRule="auto"/>
      <w:jc w:val="both"/>
    </w:pPr>
  </w:style>
  <w:style w:type="character" w:customStyle="1" w:styleId="BodyTextChar">
    <w:name w:val="Body Text Char"/>
    <w:link w:val="BodyText"/>
    <w:semiHidden/>
    <w:rsid w:val="00A622BB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8DD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unhideWhenUsed/>
    <w:rsid w:val="001C3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8DD"/>
    <w:rPr>
      <w:sz w:val="20"/>
    </w:rPr>
  </w:style>
  <w:style w:type="character" w:customStyle="1" w:styleId="CommentTextChar">
    <w:name w:val="Comment Text Char"/>
    <w:link w:val="CommentText"/>
    <w:uiPriority w:val="99"/>
    <w:rsid w:val="001C38D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38DD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C17D2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rsid w:val="002F6D34"/>
    <w:rPr>
      <w:color w:val="0000FF"/>
      <w:u w:val="single"/>
    </w:rPr>
  </w:style>
  <w:style w:type="paragraph" w:customStyle="1" w:styleId="TextkrperPartIB">
    <w:name w:val="Textkörper Part IB"/>
    <w:basedOn w:val="Normal"/>
    <w:qFormat/>
    <w:rsid w:val="00433A05"/>
    <w:pPr>
      <w:tabs>
        <w:tab w:val="clear" w:pos="567"/>
      </w:tabs>
      <w:snapToGrid w:val="0"/>
      <w:spacing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BB"/>
    <w:pPr>
      <w:tabs>
        <w:tab w:val="left" w:pos="567"/>
      </w:tabs>
      <w:spacing w:line="260" w:lineRule="exact"/>
    </w:pPr>
    <w:rPr>
      <w:rFonts w:ascii="Times New Roman" w:eastAsia="Times New Roman" w:hAnsi="Times New Roman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22BB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HeaderChar">
    <w:name w:val="Header Char"/>
    <w:link w:val="Header"/>
    <w:semiHidden/>
    <w:rsid w:val="00A622BB"/>
    <w:rPr>
      <w:rFonts w:ascii="Helvetica" w:eastAsia="Times New Roman" w:hAnsi="Helvetic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semiHidden/>
    <w:rsid w:val="00A622BB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ooterChar">
    <w:name w:val="Footer Char"/>
    <w:link w:val="Footer"/>
    <w:semiHidden/>
    <w:rsid w:val="00A622BB"/>
    <w:rPr>
      <w:rFonts w:ascii="Helvetica" w:eastAsia="Times New Roman" w:hAnsi="Helvetica" w:cs="Times New Roman"/>
      <w:sz w:val="16"/>
      <w:szCs w:val="20"/>
      <w:lang w:val="en-GB"/>
    </w:rPr>
  </w:style>
  <w:style w:type="paragraph" w:styleId="BodyText">
    <w:name w:val="Body Text"/>
    <w:basedOn w:val="Normal"/>
    <w:link w:val="BodyTextChar"/>
    <w:semiHidden/>
    <w:rsid w:val="00A622BB"/>
    <w:pPr>
      <w:tabs>
        <w:tab w:val="clear" w:pos="567"/>
      </w:tabs>
      <w:spacing w:line="240" w:lineRule="auto"/>
      <w:jc w:val="both"/>
    </w:pPr>
  </w:style>
  <w:style w:type="character" w:customStyle="1" w:styleId="BodyTextChar">
    <w:name w:val="Body Text Char"/>
    <w:link w:val="BodyText"/>
    <w:semiHidden/>
    <w:rsid w:val="00A622BB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8DD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unhideWhenUsed/>
    <w:rsid w:val="001C3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8DD"/>
    <w:rPr>
      <w:sz w:val="20"/>
    </w:rPr>
  </w:style>
  <w:style w:type="character" w:customStyle="1" w:styleId="CommentTextChar">
    <w:name w:val="Comment Text Char"/>
    <w:link w:val="CommentText"/>
    <w:uiPriority w:val="99"/>
    <w:rsid w:val="001C38D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38DD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C17D2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rsid w:val="002F6D34"/>
    <w:rPr>
      <w:color w:val="0000FF"/>
      <w:u w:val="single"/>
    </w:rPr>
  </w:style>
  <w:style w:type="paragraph" w:customStyle="1" w:styleId="TextkrperPartIB">
    <w:name w:val="Textkörper Part IB"/>
    <w:basedOn w:val="Normal"/>
    <w:qFormat/>
    <w:rsid w:val="00433A05"/>
    <w:pPr>
      <w:tabs>
        <w:tab w:val="clear" w:pos="567"/>
      </w:tabs>
      <w:snapToGrid w:val="0"/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22B3-5BB5-4791-8598-C961E6E3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3625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Evelina</cp:lastModifiedBy>
  <cp:revision>2</cp:revision>
  <cp:lastPrinted>1970-01-01T00:00:00Z</cp:lastPrinted>
  <dcterms:created xsi:type="dcterms:W3CDTF">2023-12-01T08:38:00Z</dcterms:created>
  <dcterms:modified xsi:type="dcterms:W3CDTF">2023-12-01T08:38:00Z</dcterms:modified>
</cp:coreProperties>
</file>