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5C9F9" w14:textId="77777777" w:rsidR="008E12BC" w:rsidRDefault="008E12BC" w:rsidP="008E12BC">
      <w:pPr>
        <w:tabs>
          <w:tab w:val="clear" w:pos="567"/>
          <w:tab w:val="left" w:pos="546"/>
          <w:tab w:val="left" w:pos="2268"/>
          <w:tab w:val="left" w:pos="5103"/>
          <w:tab w:val="left" w:pos="5387"/>
        </w:tabs>
        <w:spacing w:line="240" w:lineRule="auto"/>
        <w:jc w:val="center"/>
        <w:rPr>
          <w:b/>
          <w:szCs w:val="24"/>
          <w:lang w:val="lv-LV"/>
        </w:rPr>
      </w:pPr>
      <w:bookmarkStart w:id="0" w:name="_GoBack"/>
      <w:bookmarkEnd w:id="0"/>
      <w:r>
        <w:rPr>
          <w:b/>
          <w:szCs w:val="24"/>
          <w:lang w:val="lv-LV"/>
        </w:rPr>
        <w:t>LIETOŠANAS INSTRUKCIJA</w:t>
      </w:r>
    </w:p>
    <w:p w14:paraId="39B21093" w14:textId="77777777" w:rsidR="008E12BC" w:rsidRDefault="008E12BC" w:rsidP="008E12BC">
      <w:pPr>
        <w:tabs>
          <w:tab w:val="clear" w:pos="567"/>
          <w:tab w:val="left" w:pos="546"/>
          <w:tab w:val="left" w:pos="2268"/>
          <w:tab w:val="left" w:pos="5103"/>
          <w:tab w:val="left" w:pos="5387"/>
        </w:tabs>
        <w:spacing w:line="240" w:lineRule="auto"/>
        <w:jc w:val="center"/>
        <w:rPr>
          <w:b/>
          <w:szCs w:val="24"/>
          <w:lang w:val="lv-LV"/>
        </w:rPr>
      </w:pPr>
      <w:r w:rsidRPr="008E12BC">
        <w:rPr>
          <w:b/>
          <w:szCs w:val="24"/>
          <w:lang w:val="lv-LV"/>
        </w:rPr>
        <w:t>V/DCP/15/0003</w:t>
      </w:r>
    </w:p>
    <w:p w14:paraId="7F32BD4D" w14:textId="77777777" w:rsidR="008E12BC" w:rsidRDefault="008E12BC" w:rsidP="008E12BC">
      <w:pPr>
        <w:tabs>
          <w:tab w:val="clear" w:pos="567"/>
          <w:tab w:val="left" w:pos="546"/>
          <w:tab w:val="left" w:pos="2268"/>
          <w:tab w:val="left" w:pos="5103"/>
          <w:tab w:val="left" w:pos="5387"/>
        </w:tabs>
        <w:spacing w:line="240" w:lineRule="auto"/>
        <w:jc w:val="center"/>
        <w:rPr>
          <w:b/>
          <w:szCs w:val="24"/>
          <w:lang w:val="lv-LV"/>
        </w:rPr>
      </w:pPr>
      <w:r>
        <w:rPr>
          <w:b/>
          <w:szCs w:val="24"/>
          <w:lang w:val="lv-LV"/>
        </w:rPr>
        <w:t>Gonavet Veyx 50 µg/ml šķīdums injekcijām liellopiem, cūkām un zirgiem</w:t>
      </w:r>
    </w:p>
    <w:p w14:paraId="5895345F" w14:textId="77777777" w:rsidR="008E12BC" w:rsidRDefault="008E12BC" w:rsidP="008E12BC">
      <w:pPr>
        <w:tabs>
          <w:tab w:val="clear" w:pos="567"/>
          <w:tab w:val="left" w:pos="546"/>
          <w:tab w:val="left" w:pos="2268"/>
          <w:tab w:val="left" w:pos="5103"/>
          <w:tab w:val="left" w:pos="5387"/>
        </w:tabs>
        <w:jc w:val="center"/>
        <w:rPr>
          <w:b/>
          <w:szCs w:val="24"/>
          <w:lang w:val="lv-LV"/>
        </w:rPr>
      </w:pPr>
    </w:p>
    <w:p w14:paraId="6F071506" w14:textId="77777777" w:rsidR="008E12BC" w:rsidRDefault="008E12BC" w:rsidP="008E12BC">
      <w:pPr>
        <w:tabs>
          <w:tab w:val="clear" w:pos="567"/>
        </w:tabs>
        <w:spacing w:line="240" w:lineRule="auto"/>
        <w:rPr>
          <w:b/>
          <w:szCs w:val="24"/>
          <w:lang w:val="lv-LV"/>
        </w:rPr>
      </w:pPr>
    </w:p>
    <w:p w14:paraId="7DBE7253" w14:textId="77777777" w:rsidR="008E12BC" w:rsidRDefault="008E12BC" w:rsidP="008E12BC">
      <w:pPr>
        <w:tabs>
          <w:tab w:val="clear" w:pos="567"/>
        </w:tabs>
        <w:spacing w:line="240" w:lineRule="auto"/>
        <w:ind w:left="567" w:hanging="567"/>
        <w:rPr>
          <w:b/>
          <w:szCs w:val="24"/>
          <w:lang w:val="lv-LV"/>
        </w:rPr>
      </w:pPr>
      <w:r w:rsidRPr="00354FEA">
        <w:rPr>
          <w:b/>
          <w:szCs w:val="24"/>
          <w:highlight w:val="lightGray"/>
          <w:lang w:val="lv-LV"/>
        </w:rPr>
        <w:t>1.</w:t>
      </w:r>
      <w:r>
        <w:rPr>
          <w:b/>
          <w:szCs w:val="24"/>
          <w:lang w:val="lv-LV"/>
        </w:rPr>
        <w:tab/>
        <w:t>REĢISTRĀCIJAS APLIECĪBAS ĪPAŠNIEKA UN RAŽOŠANAS LICENCES TURĒTĀJA, KURŠ ATBILD PAR SĒRIJAS IZLAIDI, NOSAUKUMS UN ADRESE, JA DAŽĀDI</w:t>
      </w:r>
    </w:p>
    <w:p w14:paraId="0E34D0C4" w14:textId="77777777" w:rsidR="008E12BC" w:rsidRDefault="008E12BC" w:rsidP="008E12BC">
      <w:pPr>
        <w:tabs>
          <w:tab w:val="clear" w:pos="567"/>
        </w:tabs>
        <w:spacing w:line="240" w:lineRule="auto"/>
        <w:rPr>
          <w:szCs w:val="24"/>
          <w:lang w:val="lv-LV"/>
        </w:rPr>
      </w:pPr>
    </w:p>
    <w:p w14:paraId="1B39B75D" w14:textId="77777777" w:rsidR="00B47A0C" w:rsidRDefault="00B47A0C" w:rsidP="008E12BC">
      <w:pPr>
        <w:tabs>
          <w:tab w:val="clear" w:pos="567"/>
        </w:tabs>
        <w:spacing w:line="240" w:lineRule="auto"/>
        <w:rPr>
          <w:szCs w:val="24"/>
          <w:lang w:val="lv-LV"/>
        </w:rPr>
      </w:pPr>
      <w:r>
        <w:rPr>
          <w:color w:val="000000"/>
          <w:u w:val="single"/>
          <w:lang w:val="lv-LV"/>
        </w:rPr>
        <w:t>Reģistrācijas apliecības īpašnieks un par sērijas izlaidi atbildīgais ražotājs</w:t>
      </w:r>
      <w:r>
        <w:rPr>
          <w:color w:val="000000"/>
          <w:lang w:val="lv-LV"/>
        </w:rPr>
        <w:t>:</w:t>
      </w:r>
    </w:p>
    <w:p w14:paraId="103C1B31" w14:textId="77777777" w:rsidR="008E12BC" w:rsidRDefault="008E12BC" w:rsidP="008E12BC">
      <w:pPr>
        <w:tabs>
          <w:tab w:val="clear" w:pos="567"/>
        </w:tabs>
        <w:spacing w:line="240" w:lineRule="auto"/>
        <w:rPr>
          <w:szCs w:val="24"/>
          <w:lang w:val="lv-LV"/>
        </w:rPr>
      </w:pPr>
      <w:r>
        <w:rPr>
          <w:szCs w:val="24"/>
          <w:lang w:val="lv-LV"/>
        </w:rPr>
        <w:t>Veyx-Pharma GmbH</w:t>
      </w:r>
    </w:p>
    <w:p w14:paraId="6CEBE750" w14:textId="77777777" w:rsidR="008E12BC" w:rsidRDefault="008E12BC" w:rsidP="008E12BC">
      <w:pPr>
        <w:tabs>
          <w:tab w:val="clear" w:pos="567"/>
        </w:tabs>
        <w:spacing w:line="240" w:lineRule="auto"/>
        <w:rPr>
          <w:szCs w:val="24"/>
          <w:lang w:val="lv-LV"/>
        </w:rPr>
      </w:pPr>
      <w:r>
        <w:rPr>
          <w:szCs w:val="24"/>
          <w:lang w:val="lv-LV"/>
        </w:rPr>
        <w:t>Söhreweg 6</w:t>
      </w:r>
    </w:p>
    <w:p w14:paraId="3115D0F7" w14:textId="77777777" w:rsidR="008E12BC" w:rsidRDefault="008E12BC" w:rsidP="008E12BC">
      <w:pPr>
        <w:tabs>
          <w:tab w:val="clear" w:pos="567"/>
        </w:tabs>
        <w:spacing w:line="240" w:lineRule="auto"/>
        <w:rPr>
          <w:szCs w:val="24"/>
          <w:lang w:val="lv-LV"/>
        </w:rPr>
      </w:pPr>
      <w:r>
        <w:rPr>
          <w:szCs w:val="24"/>
          <w:lang w:val="lv-LV"/>
        </w:rPr>
        <w:t>34639 Schwarzenborn</w:t>
      </w:r>
    </w:p>
    <w:p w14:paraId="2CFE5299" w14:textId="77777777" w:rsidR="008E12BC" w:rsidRDefault="008E12BC" w:rsidP="008E12BC">
      <w:pPr>
        <w:tabs>
          <w:tab w:val="clear" w:pos="567"/>
        </w:tabs>
        <w:spacing w:line="240" w:lineRule="auto"/>
        <w:rPr>
          <w:szCs w:val="24"/>
          <w:lang w:val="lv-LV"/>
        </w:rPr>
      </w:pPr>
      <w:r>
        <w:rPr>
          <w:szCs w:val="24"/>
          <w:lang w:val="lv-LV"/>
        </w:rPr>
        <w:t>Vācija</w:t>
      </w:r>
    </w:p>
    <w:p w14:paraId="33B37A45" w14:textId="77848592" w:rsidR="008E12BC" w:rsidRDefault="008E12BC" w:rsidP="008E12BC">
      <w:pPr>
        <w:tabs>
          <w:tab w:val="clear" w:pos="567"/>
        </w:tabs>
        <w:spacing w:line="240" w:lineRule="auto"/>
        <w:rPr>
          <w:szCs w:val="24"/>
          <w:lang w:val="lv-LV"/>
        </w:rPr>
      </w:pPr>
    </w:p>
    <w:p w14:paraId="3205334B" w14:textId="77777777" w:rsidR="0013205A" w:rsidRDefault="0013205A" w:rsidP="008E12BC">
      <w:pPr>
        <w:tabs>
          <w:tab w:val="clear" w:pos="567"/>
        </w:tabs>
        <w:spacing w:line="240" w:lineRule="auto"/>
        <w:rPr>
          <w:szCs w:val="24"/>
          <w:lang w:val="lv-LV"/>
        </w:rPr>
      </w:pPr>
    </w:p>
    <w:p w14:paraId="076675DF" w14:textId="77777777" w:rsidR="008E12BC" w:rsidRDefault="008E12BC" w:rsidP="008E12BC">
      <w:pPr>
        <w:tabs>
          <w:tab w:val="clear" w:pos="567"/>
        </w:tabs>
        <w:spacing w:line="240" w:lineRule="auto"/>
        <w:rPr>
          <w:b/>
          <w:szCs w:val="24"/>
          <w:lang w:val="lv-LV"/>
        </w:rPr>
      </w:pPr>
      <w:r w:rsidRPr="00354FEA">
        <w:rPr>
          <w:b/>
          <w:szCs w:val="24"/>
          <w:highlight w:val="lightGray"/>
          <w:lang w:val="lv-LV"/>
        </w:rPr>
        <w:t>2.</w:t>
      </w:r>
      <w:r>
        <w:rPr>
          <w:b/>
          <w:szCs w:val="24"/>
          <w:lang w:val="lv-LV"/>
        </w:rPr>
        <w:tab/>
        <w:t>VETERINĀRO ZĀĻU NOSAUKUMS</w:t>
      </w:r>
    </w:p>
    <w:p w14:paraId="00C4A676" w14:textId="77777777" w:rsidR="008E12BC" w:rsidRDefault="008E12BC" w:rsidP="008E12BC">
      <w:pPr>
        <w:tabs>
          <w:tab w:val="clear" w:pos="567"/>
        </w:tabs>
        <w:spacing w:line="240" w:lineRule="auto"/>
        <w:rPr>
          <w:szCs w:val="24"/>
          <w:lang w:val="lv-LV"/>
        </w:rPr>
      </w:pPr>
    </w:p>
    <w:p w14:paraId="1332A40F" w14:textId="77777777" w:rsidR="008E12BC" w:rsidRDefault="008E12BC" w:rsidP="008E12BC">
      <w:pPr>
        <w:tabs>
          <w:tab w:val="clear" w:pos="567"/>
          <w:tab w:val="left" w:pos="546"/>
          <w:tab w:val="left" w:pos="2268"/>
          <w:tab w:val="left" w:pos="5103"/>
          <w:tab w:val="left" w:pos="5387"/>
        </w:tabs>
        <w:rPr>
          <w:szCs w:val="24"/>
          <w:lang w:val="lv-LV"/>
        </w:rPr>
      </w:pPr>
      <w:r>
        <w:rPr>
          <w:b/>
          <w:szCs w:val="24"/>
          <w:lang w:val="lv-LV"/>
        </w:rPr>
        <w:t>Gonavet Veyx</w:t>
      </w:r>
      <w:r>
        <w:rPr>
          <w:szCs w:val="24"/>
          <w:lang w:val="lv-LV"/>
        </w:rPr>
        <w:t xml:space="preserve"> 50 µg/ml šķīdums injekcijām liellopiem, cūkām un zirgiem</w:t>
      </w:r>
    </w:p>
    <w:p w14:paraId="18CC86DB" w14:textId="77777777" w:rsidR="008E12BC" w:rsidRDefault="008E12BC" w:rsidP="008E12BC">
      <w:pPr>
        <w:tabs>
          <w:tab w:val="clear" w:pos="567"/>
        </w:tabs>
        <w:spacing w:line="240" w:lineRule="auto"/>
        <w:rPr>
          <w:szCs w:val="24"/>
          <w:lang w:val="lv-LV"/>
        </w:rPr>
      </w:pPr>
      <w:r>
        <w:rPr>
          <w:i/>
          <w:color w:val="000000"/>
          <w:szCs w:val="24"/>
          <w:lang w:val="lv-LV"/>
        </w:rPr>
        <w:t>Gonadorelin[6-D-Phe]</w:t>
      </w:r>
    </w:p>
    <w:p w14:paraId="795E2F66" w14:textId="4C27B266" w:rsidR="008E12BC" w:rsidRDefault="008E12BC" w:rsidP="008E12BC">
      <w:pPr>
        <w:tabs>
          <w:tab w:val="clear" w:pos="567"/>
        </w:tabs>
        <w:spacing w:line="240" w:lineRule="auto"/>
        <w:rPr>
          <w:szCs w:val="24"/>
          <w:lang w:val="lv-LV"/>
        </w:rPr>
      </w:pPr>
    </w:p>
    <w:p w14:paraId="29F3C481" w14:textId="77777777" w:rsidR="00413B57" w:rsidRDefault="00413B57" w:rsidP="008E12BC">
      <w:pPr>
        <w:tabs>
          <w:tab w:val="clear" w:pos="567"/>
        </w:tabs>
        <w:spacing w:line="240" w:lineRule="auto"/>
        <w:rPr>
          <w:szCs w:val="24"/>
          <w:lang w:val="lv-LV"/>
        </w:rPr>
      </w:pPr>
    </w:p>
    <w:p w14:paraId="2D4D4837" w14:textId="77777777" w:rsidR="008E12BC" w:rsidRDefault="008E12BC" w:rsidP="008E12BC">
      <w:pPr>
        <w:tabs>
          <w:tab w:val="clear" w:pos="567"/>
        </w:tabs>
        <w:spacing w:line="240" w:lineRule="auto"/>
        <w:rPr>
          <w:b/>
          <w:szCs w:val="24"/>
          <w:lang w:val="lv-LV"/>
        </w:rPr>
      </w:pPr>
      <w:r w:rsidRPr="00354FEA">
        <w:rPr>
          <w:b/>
          <w:szCs w:val="24"/>
          <w:highlight w:val="lightGray"/>
          <w:lang w:val="lv-LV"/>
        </w:rPr>
        <w:t>3.</w:t>
      </w:r>
      <w:r>
        <w:rPr>
          <w:b/>
          <w:szCs w:val="24"/>
          <w:lang w:val="lv-LV"/>
        </w:rPr>
        <w:tab/>
        <w:t>AKTĪVO VIELU UN CITU VIELU NOSAUKUMS</w:t>
      </w:r>
    </w:p>
    <w:p w14:paraId="08D83449" w14:textId="77777777" w:rsidR="008E12BC" w:rsidRDefault="008E12BC" w:rsidP="008E12BC">
      <w:pPr>
        <w:tabs>
          <w:tab w:val="clear" w:pos="567"/>
        </w:tabs>
        <w:spacing w:line="240" w:lineRule="auto"/>
        <w:rPr>
          <w:b/>
          <w:szCs w:val="24"/>
          <w:lang w:val="lv-LV"/>
        </w:rPr>
      </w:pPr>
    </w:p>
    <w:p w14:paraId="695A80E0" w14:textId="3297859A" w:rsidR="008E12BC" w:rsidRDefault="008E12BC" w:rsidP="008E12BC">
      <w:pPr>
        <w:tabs>
          <w:tab w:val="clear" w:pos="567"/>
        </w:tabs>
        <w:spacing w:line="240" w:lineRule="auto"/>
        <w:rPr>
          <w:szCs w:val="24"/>
          <w:lang w:val="lv-LV"/>
        </w:rPr>
      </w:pPr>
      <w:r>
        <w:rPr>
          <w:szCs w:val="24"/>
          <w:lang w:val="lv-LV"/>
        </w:rPr>
        <w:t>Gonavet Veyx ir dzidrs, bezkrāsains šķīdums injekcijām, kas satur</w:t>
      </w:r>
      <w:r w:rsidR="001324A1">
        <w:rPr>
          <w:szCs w:val="24"/>
          <w:lang w:val="lv-LV"/>
        </w:rPr>
        <w:t>:</w:t>
      </w:r>
    </w:p>
    <w:p w14:paraId="500EFF98" w14:textId="77777777" w:rsidR="008E12BC" w:rsidRDefault="008E12BC" w:rsidP="008E12BC">
      <w:pPr>
        <w:tabs>
          <w:tab w:val="clear" w:pos="567"/>
        </w:tabs>
        <w:spacing w:line="240" w:lineRule="auto"/>
        <w:rPr>
          <w:i/>
          <w:szCs w:val="24"/>
          <w:lang w:val="lv-LV"/>
        </w:rPr>
      </w:pPr>
      <w:r>
        <w:rPr>
          <w:i/>
          <w:szCs w:val="24"/>
          <w:lang w:val="lv-LV"/>
        </w:rPr>
        <w:t>Aktīvā viela:</w:t>
      </w:r>
    </w:p>
    <w:p w14:paraId="6A704B79" w14:textId="107F23B1" w:rsidR="008E12BC" w:rsidRDefault="008E12BC" w:rsidP="008E12BC">
      <w:pPr>
        <w:tabs>
          <w:tab w:val="clear" w:pos="567"/>
          <w:tab w:val="left" w:pos="546"/>
          <w:tab w:val="left" w:pos="2835"/>
        </w:tabs>
        <w:rPr>
          <w:szCs w:val="24"/>
          <w:lang w:val="lv-LV"/>
        </w:rPr>
      </w:pPr>
      <w:r>
        <w:rPr>
          <w:color w:val="000000"/>
          <w:szCs w:val="24"/>
          <w:lang w:val="lv-LV"/>
        </w:rPr>
        <w:t>Gonadorelīns[6-D-Phe]</w:t>
      </w:r>
      <w:r>
        <w:rPr>
          <w:color w:val="000000"/>
          <w:szCs w:val="24"/>
          <w:lang w:val="lv-LV"/>
        </w:rPr>
        <w:tab/>
      </w:r>
      <w:r>
        <w:rPr>
          <w:szCs w:val="24"/>
          <w:lang w:val="lv-LV"/>
        </w:rPr>
        <w:t>50 </w:t>
      </w:r>
      <w:r w:rsidR="001324A1" w:rsidRPr="00781649">
        <w:rPr>
          <w:szCs w:val="24"/>
          <w:lang w:val="lv-LV"/>
        </w:rPr>
        <w:t>mikrogrami</w:t>
      </w:r>
      <w:r>
        <w:rPr>
          <w:color w:val="000000"/>
          <w:szCs w:val="24"/>
          <w:lang w:val="lv-LV"/>
        </w:rPr>
        <w:t xml:space="preserve">/ml </w:t>
      </w:r>
      <w:r>
        <w:rPr>
          <w:szCs w:val="24"/>
          <w:lang w:val="lv-LV"/>
        </w:rPr>
        <w:t>(atbilst 52,4 </w:t>
      </w:r>
      <w:r>
        <w:rPr>
          <w:color w:val="000000"/>
          <w:szCs w:val="24"/>
          <w:lang w:val="lv-LV"/>
        </w:rPr>
        <w:t>µg/ml</w:t>
      </w:r>
      <w:r>
        <w:rPr>
          <w:szCs w:val="24"/>
          <w:lang w:val="lv-LV"/>
        </w:rPr>
        <w:t xml:space="preserve"> gonadorelīna[6-D-Phe] acetātam)</w:t>
      </w:r>
    </w:p>
    <w:p w14:paraId="6FAD34E2" w14:textId="77777777" w:rsidR="001324A1" w:rsidRDefault="001324A1" w:rsidP="008E12BC">
      <w:pPr>
        <w:tabs>
          <w:tab w:val="clear" w:pos="567"/>
        </w:tabs>
        <w:spacing w:line="240" w:lineRule="auto"/>
        <w:rPr>
          <w:i/>
          <w:szCs w:val="24"/>
          <w:lang w:val="lv-LV"/>
        </w:rPr>
      </w:pPr>
    </w:p>
    <w:p w14:paraId="710C5851" w14:textId="0B2042BE" w:rsidR="008E12BC" w:rsidRDefault="008E12BC" w:rsidP="008E12BC">
      <w:pPr>
        <w:tabs>
          <w:tab w:val="clear" w:pos="567"/>
        </w:tabs>
        <w:spacing w:line="240" w:lineRule="auto"/>
        <w:rPr>
          <w:i/>
          <w:szCs w:val="24"/>
          <w:lang w:val="lv-LV"/>
        </w:rPr>
      </w:pPr>
      <w:r>
        <w:rPr>
          <w:i/>
          <w:szCs w:val="24"/>
          <w:lang w:val="lv-LV"/>
        </w:rPr>
        <w:t>Palīgvielas:</w:t>
      </w:r>
    </w:p>
    <w:p w14:paraId="01A502D5" w14:textId="77777777" w:rsidR="008E12BC" w:rsidRDefault="008E12BC" w:rsidP="008E12BC">
      <w:pPr>
        <w:tabs>
          <w:tab w:val="clear" w:pos="567"/>
          <w:tab w:val="left" w:pos="546"/>
          <w:tab w:val="left" w:pos="2835"/>
        </w:tabs>
        <w:rPr>
          <w:color w:val="000000"/>
          <w:szCs w:val="24"/>
          <w:lang w:val="lv-LV"/>
        </w:rPr>
      </w:pPr>
      <w:r>
        <w:rPr>
          <w:color w:val="000000"/>
          <w:szCs w:val="24"/>
          <w:lang w:val="lv-LV"/>
        </w:rPr>
        <w:t xml:space="preserve">Hlorkrezols </w:t>
      </w:r>
      <w:r>
        <w:rPr>
          <w:color w:val="000000"/>
          <w:szCs w:val="24"/>
          <w:lang w:val="lv-LV"/>
        </w:rPr>
        <w:tab/>
        <w:t>1 mg/ml</w:t>
      </w:r>
    </w:p>
    <w:p w14:paraId="326A4BF8" w14:textId="3457E898" w:rsidR="008E12BC" w:rsidRDefault="008E12BC" w:rsidP="008E12BC">
      <w:pPr>
        <w:tabs>
          <w:tab w:val="clear" w:pos="567"/>
        </w:tabs>
        <w:spacing w:line="240" w:lineRule="auto"/>
        <w:rPr>
          <w:szCs w:val="24"/>
          <w:lang w:val="lv-LV"/>
        </w:rPr>
      </w:pPr>
    </w:p>
    <w:p w14:paraId="2B82EBFB" w14:textId="77777777" w:rsidR="009A5F71" w:rsidRDefault="009A5F71" w:rsidP="008E12BC">
      <w:pPr>
        <w:tabs>
          <w:tab w:val="clear" w:pos="567"/>
        </w:tabs>
        <w:spacing w:line="240" w:lineRule="auto"/>
        <w:rPr>
          <w:szCs w:val="24"/>
          <w:lang w:val="lv-LV"/>
        </w:rPr>
      </w:pPr>
    </w:p>
    <w:p w14:paraId="32F1317A" w14:textId="0F14B734" w:rsidR="008E12BC" w:rsidRDefault="008E12BC" w:rsidP="008E12BC">
      <w:pPr>
        <w:keepNext/>
        <w:tabs>
          <w:tab w:val="clear" w:pos="567"/>
        </w:tabs>
        <w:spacing w:line="240" w:lineRule="auto"/>
        <w:rPr>
          <w:b/>
          <w:szCs w:val="24"/>
          <w:lang w:val="lv-LV"/>
        </w:rPr>
      </w:pPr>
      <w:r w:rsidRPr="00354FEA">
        <w:rPr>
          <w:b/>
          <w:szCs w:val="24"/>
          <w:highlight w:val="lightGray"/>
          <w:lang w:val="lv-LV"/>
        </w:rPr>
        <w:t>4.</w:t>
      </w:r>
      <w:r>
        <w:rPr>
          <w:b/>
          <w:szCs w:val="24"/>
          <w:lang w:val="lv-LV"/>
        </w:rPr>
        <w:tab/>
        <w:t>INDIKĀCIJA</w:t>
      </w:r>
      <w:r w:rsidR="0048092C">
        <w:rPr>
          <w:b/>
          <w:szCs w:val="24"/>
          <w:lang w:val="lv-LV"/>
        </w:rPr>
        <w:t>(-</w:t>
      </w:r>
      <w:r>
        <w:rPr>
          <w:b/>
          <w:szCs w:val="24"/>
          <w:lang w:val="lv-LV"/>
        </w:rPr>
        <w:t>S</w:t>
      </w:r>
      <w:r w:rsidR="0048092C">
        <w:rPr>
          <w:b/>
          <w:szCs w:val="24"/>
          <w:lang w:val="lv-LV"/>
        </w:rPr>
        <w:t>)</w:t>
      </w:r>
    </w:p>
    <w:p w14:paraId="6A03E621" w14:textId="77777777" w:rsidR="008E12BC" w:rsidRDefault="008E12BC" w:rsidP="008E12BC">
      <w:pPr>
        <w:ind w:left="26"/>
        <w:rPr>
          <w:szCs w:val="24"/>
          <w:lang w:val="lv-LV"/>
        </w:rPr>
      </w:pPr>
    </w:p>
    <w:p w14:paraId="32A06927" w14:textId="77777777" w:rsidR="008E12BC" w:rsidRDefault="008E12BC" w:rsidP="008E12BC">
      <w:pPr>
        <w:ind w:left="26"/>
        <w:rPr>
          <w:szCs w:val="24"/>
          <w:lang w:val="lv-LV"/>
        </w:rPr>
      </w:pPr>
      <w:r>
        <w:rPr>
          <w:szCs w:val="24"/>
          <w:lang w:val="lv-LV"/>
        </w:rPr>
        <w:t>Reprodukcijas kontrolei un stimulācijai liellopiem un cūkām. Ar olnīcām saistītu auglības traucējumu vai disfunkciju ārstēšanai liellopiem un zirgiem.</w:t>
      </w:r>
    </w:p>
    <w:p w14:paraId="4EEEC134" w14:textId="77777777" w:rsidR="008E12BC" w:rsidRDefault="008E12BC" w:rsidP="008E12BC">
      <w:pPr>
        <w:ind w:left="26"/>
        <w:rPr>
          <w:b/>
          <w:szCs w:val="24"/>
          <w:lang w:val="lv-LV"/>
        </w:rPr>
      </w:pPr>
    </w:p>
    <w:p w14:paraId="3876BF08" w14:textId="3847B6F1" w:rsidR="008E12BC" w:rsidRDefault="008E12BC" w:rsidP="008E12BC">
      <w:pPr>
        <w:ind w:left="26"/>
        <w:jc w:val="both"/>
        <w:rPr>
          <w:szCs w:val="24"/>
          <w:u w:val="single"/>
          <w:lang w:val="lv-LV"/>
        </w:rPr>
      </w:pPr>
      <w:r>
        <w:rPr>
          <w:szCs w:val="24"/>
          <w:u w:val="single"/>
          <w:lang w:val="lv-LV"/>
        </w:rPr>
        <w:t>Liellopi</w:t>
      </w:r>
      <w:r w:rsidR="009A5F71">
        <w:rPr>
          <w:szCs w:val="24"/>
          <w:u w:val="single"/>
          <w:lang w:val="lv-LV"/>
        </w:rPr>
        <w:t>em</w:t>
      </w:r>
      <w:r>
        <w:rPr>
          <w:szCs w:val="24"/>
          <w:u w:val="single"/>
          <w:lang w:val="lv-LV"/>
        </w:rPr>
        <w:t xml:space="preserve"> (gov</w:t>
      </w:r>
      <w:r w:rsidR="009A5F71">
        <w:rPr>
          <w:szCs w:val="24"/>
          <w:u w:val="single"/>
          <w:lang w:val="lv-LV"/>
        </w:rPr>
        <w:t>īm</w:t>
      </w:r>
      <w:r>
        <w:rPr>
          <w:szCs w:val="24"/>
          <w:u w:val="single"/>
          <w:lang w:val="lv-LV"/>
        </w:rPr>
        <w:t>, tel</w:t>
      </w:r>
      <w:r w:rsidR="009A5F71">
        <w:rPr>
          <w:szCs w:val="24"/>
          <w:u w:val="single"/>
          <w:lang w:val="lv-LV"/>
        </w:rPr>
        <w:t>ēm</w:t>
      </w:r>
      <w:r>
        <w:rPr>
          <w:szCs w:val="24"/>
          <w:u w:val="single"/>
          <w:lang w:val="lv-LV"/>
        </w:rPr>
        <w:t>):</w:t>
      </w:r>
    </w:p>
    <w:p w14:paraId="3E8B7943" w14:textId="324200B6" w:rsidR="008E12BC" w:rsidRDefault="008E12BC" w:rsidP="008E12BC">
      <w:pPr>
        <w:pStyle w:val="ListParagraph1"/>
        <w:numPr>
          <w:ilvl w:val="0"/>
          <w:numId w:val="2"/>
        </w:numPr>
        <w:ind w:left="284" w:hanging="284"/>
        <w:rPr>
          <w:rFonts w:ascii="Times New Roman" w:hAnsi="Times New Roman" w:cs="Times New Roman"/>
          <w:lang w:val="lv-LV"/>
        </w:rPr>
      </w:pPr>
      <w:r>
        <w:rPr>
          <w:rFonts w:ascii="Times New Roman" w:hAnsi="Times New Roman" w:cs="Times New Roman"/>
          <w:lang w:val="lv-LV"/>
        </w:rPr>
        <w:t xml:space="preserve">ovulācijas </w:t>
      </w:r>
      <w:r w:rsidR="009A5F71">
        <w:rPr>
          <w:rFonts w:ascii="Times New Roman" w:hAnsi="Times New Roman" w:cs="Times New Roman"/>
          <w:lang w:val="lv-LV"/>
        </w:rPr>
        <w:t>ierosināšanai</w:t>
      </w:r>
      <w:r w:rsidR="009A5F71" w:rsidDel="009A5F71">
        <w:rPr>
          <w:rFonts w:ascii="Times New Roman" w:hAnsi="Times New Roman" w:cs="Times New Roman"/>
          <w:lang w:val="lv-LV"/>
        </w:rPr>
        <w:t xml:space="preserve"> </w:t>
      </w:r>
      <w:r>
        <w:rPr>
          <w:rFonts w:ascii="Times New Roman" w:hAnsi="Times New Roman" w:cs="Times New Roman"/>
          <w:lang w:val="lv-LV"/>
        </w:rPr>
        <w:t>aizkavētas ovulācijas gadījumā LH deficīta dēļ;</w:t>
      </w:r>
    </w:p>
    <w:p w14:paraId="07B7D3A3" w14:textId="292212B2" w:rsidR="008E12BC" w:rsidRDefault="008E12BC" w:rsidP="008E12BC">
      <w:pPr>
        <w:pStyle w:val="ListParagraph1"/>
        <w:numPr>
          <w:ilvl w:val="0"/>
          <w:numId w:val="2"/>
        </w:numPr>
        <w:ind w:left="284" w:hanging="284"/>
        <w:rPr>
          <w:rFonts w:ascii="Times New Roman" w:hAnsi="Times New Roman" w:cs="Times New Roman"/>
          <w:lang w:val="lv-LV"/>
        </w:rPr>
      </w:pPr>
      <w:r>
        <w:rPr>
          <w:rFonts w:ascii="Times New Roman" w:hAnsi="Times New Roman" w:cs="Times New Roman"/>
          <w:lang w:val="lv-LV"/>
        </w:rPr>
        <w:t xml:space="preserve">ovulācijas </w:t>
      </w:r>
      <w:r w:rsidR="009A5F71">
        <w:rPr>
          <w:rFonts w:ascii="Times New Roman" w:hAnsi="Times New Roman" w:cs="Times New Roman"/>
          <w:lang w:val="lv-LV"/>
        </w:rPr>
        <w:t>ierosināšanai</w:t>
      </w:r>
      <w:r>
        <w:rPr>
          <w:rFonts w:ascii="Times New Roman" w:hAnsi="Times New Roman" w:cs="Times New Roman"/>
          <w:lang w:val="lv-LV"/>
        </w:rPr>
        <w:t>/sinhronizācija</w:t>
      </w:r>
      <w:r w:rsidR="009A5F71">
        <w:rPr>
          <w:rFonts w:ascii="Times New Roman" w:hAnsi="Times New Roman" w:cs="Times New Roman"/>
          <w:lang w:val="lv-LV"/>
        </w:rPr>
        <w:t>i</w:t>
      </w:r>
      <w:r>
        <w:rPr>
          <w:rFonts w:ascii="Times New Roman" w:hAnsi="Times New Roman" w:cs="Times New Roman"/>
          <w:lang w:val="lv-LV"/>
        </w:rPr>
        <w:t xml:space="preserve"> sinhronizētas apsēklošanas sistēmas ietvaros; </w:t>
      </w:r>
    </w:p>
    <w:p w14:paraId="323ED4F4" w14:textId="35534E97" w:rsidR="008E12BC" w:rsidRDefault="008E12BC" w:rsidP="008E12BC">
      <w:pPr>
        <w:pStyle w:val="ListParagraph1"/>
        <w:numPr>
          <w:ilvl w:val="0"/>
          <w:numId w:val="2"/>
        </w:numPr>
        <w:ind w:left="284" w:hanging="284"/>
        <w:rPr>
          <w:rFonts w:ascii="Times New Roman" w:hAnsi="Times New Roman" w:cs="Times New Roman"/>
          <w:lang w:val="lv-LV"/>
        </w:rPr>
      </w:pPr>
      <w:r>
        <w:rPr>
          <w:rFonts w:ascii="Times New Roman" w:hAnsi="Times New Roman" w:cs="Times New Roman"/>
          <w:lang w:val="lv-LV"/>
        </w:rPr>
        <w:t>olnīcu stimulācija</w:t>
      </w:r>
      <w:r w:rsidR="009A5F71">
        <w:rPr>
          <w:rFonts w:ascii="Times New Roman" w:hAnsi="Times New Roman" w:cs="Times New Roman"/>
          <w:lang w:val="lv-LV"/>
        </w:rPr>
        <w:t>i</w:t>
      </w:r>
      <w:r>
        <w:rPr>
          <w:rFonts w:ascii="Times New Roman" w:hAnsi="Times New Roman" w:cs="Times New Roman"/>
          <w:lang w:val="lv-LV"/>
        </w:rPr>
        <w:t xml:space="preserve"> pēc</w:t>
      </w:r>
      <w:r w:rsidR="009A5F71">
        <w:rPr>
          <w:rFonts w:ascii="Times New Roman" w:hAnsi="Times New Roman" w:cs="Times New Roman"/>
          <w:lang w:val="lv-LV"/>
        </w:rPr>
        <w:t>dzemdību</w:t>
      </w:r>
      <w:r>
        <w:rPr>
          <w:rFonts w:ascii="Times New Roman" w:hAnsi="Times New Roman" w:cs="Times New Roman"/>
          <w:lang w:val="lv-LV"/>
        </w:rPr>
        <w:t xml:space="preserve"> periodā, sākot no 12. dienas pēc </w:t>
      </w:r>
      <w:r w:rsidR="009A5F71">
        <w:rPr>
          <w:rFonts w:ascii="Times New Roman" w:hAnsi="Times New Roman" w:cs="Times New Roman"/>
          <w:lang w:val="lv-LV"/>
        </w:rPr>
        <w:t>dzemdībām</w:t>
      </w:r>
      <w:r>
        <w:rPr>
          <w:rFonts w:ascii="Times New Roman" w:hAnsi="Times New Roman" w:cs="Times New Roman"/>
          <w:lang w:val="lv-LV"/>
        </w:rPr>
        <w:t>;</w:t>
      </w:r>
    </w:p>
    <w:p w14:paraId="2F7C6C15" w14:textId="77777777" w:rsidR="008E12BC" w:rsidRDefault="008E12BC" w:rsidP="008E12BC">
      <w:pPr>
        <w:pStyle w:val="ListParagraph1"/>
        <w:numPr>
          <w:ilvl w:val="0"/>
          <w:numId w:val="2"/>
        </w:numPr>
        <w:ind w:left="284" w:hanging="284"/>
        <w:rPr>
          <w:rFonts w:ascii="Times New Roman" w:hAnsi="Times New Roman" w:cs="Times New Roman"/>
          <w:lang w:val="lv-LV"/>
        </w:rPr>
      </w:pPr>
      <w:r>
        <w:rPr>
          <w:rFonts w:ascii="Times New Roman" w:hAnsi="Times New Roman" w:cs="Times New Roman"/>
          <w:lang w:val="lv-LV"/>
        </w:rPr>
        <w:t>olnīcu cistas (LH deficīta dēļ).</w:t>
      </w:r>
    </w:p>
    <w:p w14:paraId="534B3A7E" w14:textId="77777777" w:rsidR="008E12BC" w:rsidRDefault="008E12BC" w:rsidP="008E12BC">
      <w:pPr>
        <w:rPr>
          <w:szCs w:val="24"/>
          <w:lang w:val="lv-LV"/>
        </w:rPr>
      </w:pPr>
    </w:p>
    <w:p w14:paraId="080FDDF3" w14:textId="603D3461" w:rsidR="008E12BC" w:rsidRDefault="008E12BC" w:rsidP="008E12BC">
      <w:pPr>
        <w:jc w:val="both"/>
        <w:rPr>
          <w:szCs w:val="24"/>
          <w:u w:val="single"/>
          <w:lang w:val="lv-LV"/>
        </w:rPr>
      </w:pPr>
      <w:r>
        <w:rPr>
          <w:szCs w:val="24"/>
          <w:u w:val="single"/>
          <w:lang w:val="lv-LV"/>
        </w:rPr>
        <w:t>Cūk</w:t>
      </w:r>
      <w:r w:rsidR="009A5F71">
        <w:rPr>
          <w:szCs w:val="24"/>
          <w:u w:val="single"/>
          <w:lang w:val="lv-LV"/>
        </w:rPr>
        <w:t>ām</w:t>
      </w:r>
      <w:r>
        <w:rPr>
          <w:szCs w:val="24"/>
          <w:u w:val="single"/>
          <w:lang w:val="lv-LV"/>
        </w:rPr>
        <w:t xml:space="preserve"> (sivēnmāt</w:t>
      </w:r>
      <w:r w:rsidR="009A5F71">
        <w:rPr>
          <w:szCs w:val="24"/>
          <w:u w:val="single"/>
          <w:lang w:val="lv-LV"/>
        </w:rPr>
        <w:t>ēm</w:t>
      </w:r>
      <w:r>
        <w:rPr>
          <w:szCs w:val="24"/>
          <w:u w:val="single"/>
          <w:lang w:val="lv-LV"/>
        </w:rPr>
        <w:t>, jauncūk</w:t>
      </w:r>
      <w:r w:rsidR="009A5F71">
        <w:rPr>
          <w:szCs w:val="24"/>
          <w:u w:val="single"/>
          <w:lang w:val="lv-LV"/>
        </w:rPr>
        <w:t>ām</w:t>
      </w:r>
      <w:r>
        <w:rPr>
          <w:szCs w:val="24"/>
          <w:u w:val="single"/>
          <w:lang w:val="lv-LV"/>
        </w:rPr>
        <w:t>):</w:t>
      </w:r>
    </w:p>
    <w:p w14:paraId="63C27583" w14:textId="1342D81E" w:rsidR="008E12BC" w:rsidRDefault="008E12BC" w:rsidP="008E12BC">
      <w:pPr>
        <w:pStyle w:val="ListParagraph1"/>
        <w:numPr>
          <w:ilvl w:val="0"/>
          <w:numId w:val="2"/>
        </w:numPr>
        <w:ind w:left="284" w:hanging="284"/>
        <w:rPr>
          <w:rFonts w:ascii="Times New Roman" w:hAnsi="Times New Roman" w:cs="Times New Roman"/>
          <w:lang w:val="lv-LV"/>
        </w:rPr>
      </w:pPr>
      <w:r>
        <w:rPr>
          <w:rFonts w:ascii="Times New Roman" w:hAnsi="Times New Roman" w:cs="Times New Roman"/>
          <w:lang w:val="lv-LV"/>
        </w:rPr>
        <w:t xml:space="preserve">ovulācijas </w:t>
      </w:r>
      <w:r w:rsidR="009A5F71">
        <w:rPr>
          <w:rFonts w:ascii="Times New Roman" w:hAnsi="Times New Roman" w:cs="Times New Roman"/>
          <w:lang w:val="lv-LV"/>
        </w:rPr>
        <w:t>ierosināšanai</w:t>
      </w:r>
      <w:r>
        <w:rPr>
          <w:rFonts w:ascii="Times New Roman" w:hAnsi="Times New Roman" w:cs="Times New Roman"/>
          <w:lang w:val="lv-LV"/>
        </w:rPr>
        <w:t>/sinhronizācija</w:t>
      </w:r>
      <w:r w:rsidR="009A5F71">
        <w:rPr>
          <w:rFonts w:ascii="Times New Roman" w:hAnsi="Times New Roman" w:cs="Times New Roman"/>
          <w:lang w:val="lv-LV"/>
        </w:rPr>
        <w:t>i</w:t>
      </w:r>
      <w:r>
        <w:rPr>
          <w:rFonts w:ascii="Times New Roman" w:hAnsi="Times New Roman" w:cs="Times New Roman"/>
          <w:lang w:val="lv-LV"/>
        </w:rPr>
        <w:t xml:space="preserve"> sinhronizētas apsēklošanas sistēmas ietvaros un </w:t>
      </w:r>
      <w:r w:rsidR="009A5F71">
        <w:rPr>
          <w:rFonts w:ascii="Times New Roman" w:hAnsi="Times New Roman" w:cs="Times New Roman"/>
          <w:lang w:val="lv-LV"/>
        </w:rPr>
        <w:t xml:space="preserve">dzemdību </w:t>
      </w:r>
      <w:r>
        <w:rPr>
          <w:rFonts w:ascii="Times New Roman" w:hAnsi="Times New Roman" w:cs="Times New Roman"/>
          <w:lang w:val="lv-LV"/>
        </w:rPr>
        <w:t>sinhronizācija</w:t>
      </w:r>
      <w:r w:rsidR="009A5F71">
        <w:rPr>
          <w:rFonts w:ascii="Times New Roman" w:hAnsi="Times New Roman" w:cs="Times New Roman"/>
          <w:lang w:val="lv-LV"/>
        </w:rPr>
        <w:t>i</w:t>
      </w:r>
      <w:r>
        <w:rPr>
          <w:rFonts w:ascii="Times New Roman" w:hAnsi="Times New Roman" w:cs="Times New Roman"/>
          <w:lang w:val="lv-LV"/>
        </w:rPr>
        <w:t>.</w:t>
      </w:r>
    </w:p>
    <w:p w14:paraId="3623124F" w14:textId="77777777" w:rsidR="008E12BC" w:rsidRDefault="008E12BC" w:rsidP="008E12BC">
      <w:pPr>
        <w:rPr>
          <w:szCs w:val="24"/>
          <w:lang w:val="lv-LV"/>
        </w:rPr>
      </w:pPr>
    </w:p>
    <w:p w14:paraId="7A8233DE" w14:textId="0669B34B" w:rsidR="008E12BC" w:rsidRDefault="008E12BC" w:rsidP="008E12BC">
      <w:pPr>
        <w:jc w:val="both"/>
        <w:rPr>
          <w:szCs w:val="24"/>
          <w:u w:val="single"/>
          <w:lang w:val="lv-LV"/>
        </w:rPr>
      </w:pPr>
      <w:r>
        <w:rPr>
          <w:szCs w:val="24"/>
          <w:u w:val="single"/>
          <w:lang w:val="lv-LV"/>
        </w:rPr>
        <w:t>Zirgi</w:t>
      </w:r>
      <w:r w:rsidR="009A5F71">
        <w:rPr>
          <w:szCs w:val="24"/>
          <w:u w:val="single"/>
          <w:lang w:val="lv-LV"/>
        </w:rPr>
        <w:t>em</w:t>
      </w:r>
      <w:r>
        <w:rPr>
          <w:szCs w:val="24"/>
          <w:u w:val="single"/>
          <w:lang w:val="lv-LV"/>
        </w:rPr>
        <w:t xml:space="preserve"> (ķēv</w:t>
      </w:r>
      <w:r w:rsidR="009A5F71">
        <w:rPr>
          <w:szCs w:val="24"/>
          <w:u w:val="single"/>
          <w:lang w:val="lv-LV"/>
        </w:rPr>
        <w:t>ēm</w:t>
      </w:r>
      <w:r>
        <w:rPr>
          <w:szCs w:val="24"/>
          <w:u w:val="single"/>
          <w:lang w:val="lv-LV"/>
        </w:rPr>
        <w:t>):</w:t>
      </w:r>
    </w:p>
    <w:p w14:paraId="700CBD50" w14:textId="77777777" w:rsidR="008E12BC" w:rsidRPr="008E12BC" w:rsidRDefault="008E12BC" w:rsidP="008E12BC">
      <w:pPr>
        <w:pStyle w:val="ListParagraph1"/>
        <w:numPr>
          <w:ilvl w:val="0"/>
          <w:numId w:val="1"/>
        </w:numPr>
        <w:ind w:left="284" w:hanging="284"/>
        <w:rPr>
          <w:rFonts w:ascii="Times New Roman" w:hAnsi="Times New Roman" w:cs="Times New Roman"/>
          <w:lang w:val="lv-LV"/>
        </w:rPr>
      </w:pPr>
      <w:r>
        <w:rPr>
          <w:rFonts w:ascii="Times New Roman" w:hAnsi="Times New Roman" w:cs="Times New Roman"/>
          <w:lang w:val="lv-LV"/>
        </w:rPr>
        <w:t>aciklija un meklēšanās ciklu iztrūkums LH deficīta dēļ.</w:t>
      </w:r>
    </w:p>
    <w:p w14:paraId="33C79508" w14:textId="2442F63D" w:rsidR="008E12BC" w:rsidRDefault="008E12BC" w:rsidP="008E12BC">
      <w:pPr>
        <w:tabs>
          <w:tab w:val="clear" w:pos="567"/>
        </w:tabs>
        <w:spacing w:line="240" w:lineRule="auto"/>
        <w:rPr>
          <w:szCs w:val="24"/>
          <w:lang w:val="lv-LV"/>
        </w:rPr>
      </w:pPr>
    </w:p>
    <w:p w14:paraId="37ED4C31" w14:textId="77777777" w:rsidR="009A5F71" w:rsidRDefault="009A5F71" w:rsidP="008E12BC">
      <w:pPr>
        <w:tabs>
          <w:tab w:val="clear" w:pos="567"/>
        </w:tabs>
        <w:spacing w:line="240" w:lineRule="auto"/>
        <w:rPr>
          <w:szCs w:val="24"/>
          <w:lang w:val="lv-LV"/>
        </w:rPr>
      </w:pPr>
    </w:p>
    <w:p w14:paraId="0AAD2E33"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5.</w:t>
      </w:r>
      <w:r>
        <w:rPr>
          <w:b/>
          <w:szCs w:val="24"/>
          <w:lang w:val="lv-LV"/>
        </w:rPr>
        <w:tab/>
        <w:t>KONTRINDIKĀCIJAS</w:t>
      </w:r>
    </w:p>
    <w:p w14:paraId="30D20949" w14:textId="20100729" w:rsidR="008E12BC" w:rsidRDefault="008E12BC" w:rsidP="008E12BC">
      <w:pPr>
        <w:spacing w:before="120"/>
        <w:ind w:left="142" w:hanging="142"/>
        <w:rPr>
          <w:szCs w:val="24"/>
          <w:lang w:val="lv-LV"/>
        </w:rPr>
      </w:pPr>
      <w:r>
        <w:rPr>
          <w:szCs w:val="24"/>
          <w:lang w:val="lv-LV"/>
        </w:rPr>
        <w:t>Nelietot govīm</w:t>
      </w:r>
      <w:r w:rsidR="009A5F71">
        <w:rPr>
          <w:szCs w:val="24"/>
          <w:lang w:val="lv-LV"/>
        </w:rPr>
        <w:t>, kurām</w:t>
      </w:r>
      <w:r>
        <w:rPr>
          <w:szCs w:val="24"/>
          <w:lang w:val="lv-LV"/>
        </w:rPr>
        <w:t xml:space="preserve"> ir nobriedis terciārais folikuls, kas gatavs ovulācijai.</w:t>
      </w:r>
    </w:p>
    <w:p w14:paraId="04BAF630" w14:textId="77777777" w:rsidR="008E12BC" w:rsidRDefault="008E12BC" w:rsidP="008E12BC">
      <w:pPr>
        <w:ind w:left="142" w:hanging="142"/>
        <w:rPr>
          <w:szCs w:val="24"/>
          <w:lang w:val="lv-LV"/>
        </w:rPr>
      </w:pPr>
      <w:r>
        <w:rPr>
          <w:szCs w:val="24"/>
          <w:lang w:val="lv-LV"/>
        </w:rPr>
        <w:t xml:space="preserve">Nelietot infekciju slimību un citu būtisku veselības traucējumu laikā. </w:t>
      </w:r>
    </w:p>
    <w:p w14:paraId="1383398D" w14:textId="4DAEE38D" w:rsidR="008E12BC" w:rsidRDefault="008E12BC" w:rsidP="008E12BC">
      <w:pPr>
        <w:ind w:left="142" w:hanging="142"/>
        <w:rPr>
          <w:szCs w:val="24"/>
          <w:lang w:val="lv-LV"/>
        </w:rPr>
      </w:pPr>
      <w:r>
        <w:rPr>
          <w:szCs w:val="24"/>
          <w:lang w:val="lv-LV"/>
        </w:rPr>
        <w:t>Nelietot</w:t>
      </w:r>
      <w:r w:rsidR="00683319">
        <w:rPr>
          <w:szCs w:val="24"/>
          <w:lang w:val="lv-LV"/>
        </w:rPr>
        <w:t xml:space="preserve"> </w:t>
      </w:r>
      <w:r w:rsidR="009A5F71">
        <w:rPr>
          <w:szCs w:val="24"/>
          <w:lang w:val="lv-LV"/>
        </w:rPr>
        <w:t>gadījumos</w:t>
      </w:r>
      <w:r>
        <w:rPr>
          <w:szCs w:val="24"/>
          <w:lang w:val="lv-LV"/>
        </w:rPr>
        <w:t>, ja konstatēta pastiprināta jutība pret aktīvo vielu vai pret kādu no palīgvielām.</w:t>
      </w:r>
    </w:p>
    <w:p w14:paraId="2C438CD9" w14:textId="77777777" w:rsidR="008E12BC" w:rsidRDefault="008E12BC" w:rsidP="008E12BC">
      <w:pPr>
        <w:tabs>
          <w:tab w:val="clear" w:pos="567"/>
        </w:tabs>
        <w:spacing w:line="240" w:lineRule="auto"/>
        <w:rPr>
          <w:szCs w:val="24"/>
          <w:lang w:val="lv-LV"/>
        </w:rPr>
      </w:pPr>
    </w:p>
    <w:p w14:paraId="469F30D3"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lastRenderedPageBreak/>
        <w:t>6.</w:t>
      </w:r>
      <w:r>
        <w:rPr>
          <w:b/>
          <w:szCs w:val="24"/>
          <w:lang w:val="lv-LV"/>
        </w:rPr>
        <w:tab/>
        <w:t>IESPĒJAMĀS BLAKUSPARĀDĪBAS</w:t>
      </w:r>
    </w:p>
    <w:p w14:paraId="6420EC9C" w14:textId="77777777" w:rsidR="008E12BC" w:rsidRDefault="008E12BC" w:rsidP="008E12BC">
      <w:pPr>
        <w:tabs>
          <w:tab w:val="clear" w:pos="567"/>
        </w:tabs>
        <w:spacing w:line="240" w:lineRule="auto"/>
        <w:rPr>
          <w:szCs w:val="24"/>
          <w:lang w:val="lv-LV"/>
        </w:rPr>
      </w:pPr>
    </w:p>
    <w:p w14:paraId="5E221455" w14:textId="77777777" w:rsidR="008E12BC" w:rsidRDefault="008E12BC" w:rsidP="008E12BC">
      <w:pPr>
        <w:tabs>
          <w:tab w:val="clear" w:pos="567"/>
        </w:tabs>
        <w:spacing w:line="240" w:lineRule="auto"/>
        <w:rPr>
          <w:szCs w:val="24"/>
          <w:lang w:val="lv-LV"/>
        </w:rPr>
      </w:pPr>
      <w:r>
        <w:rPr>
          <w:szCs w:val="24"/>
          <w:lang w:val="lv-LV"/>
        </w:rPr>
        <w:t xml:space="preserve">Nav zināmas </w:t>
      </w:r>
    </w:p>
    <w:p w14:paraId="5C72DDCA" w14:textId="77777777" w:rsidR="008E12BC" w:rsidRDefault="008E12BC" w:rsidP="008E12BC">
      <w:pPr>
        <w:tabs>
          <w:tab w:val="clear" w:pos="567"/>
        </w:tabs>
        <w:spacing w:line="240" w:lineRule="auto"/>
        <w:rPr>
          <w:szCs w:val="24"/>
          <w:lang w:val="lv-LV"/>
        </w:rPr>
      </w:pPr>
    </w:p>
    <w:p w14:paraId="3DB37137" w14:textId="611DBDD1" w:rsidR="008E12BC" w:rsidRDefault="00B47A0C" w:rsidP="008E12BC">
      <w:pPr>
        <w:tabs>
          <w:tab w:val="clear" w:pos="567"/>
        </w:tabs>
        <w:spacing w:line="240" w:lineRule="auto"/>
        <w:rPr>
          <w:szCs w:val="24"/>
          <w:lang w:val="lv-LV"/>
        </w:rPr>
      </w:pPr>
      <w:r>
        <w:rPr>
          <w:color w:val="000000"/>
          <w:lang w:val="lv-LV"/>
        </w:rPr>
        <w:t>Ja novērojat jebkuras blakusparādības,</w:t>
      </w:r>
      <w:r w:rsidR="0048092C">
        <w:rPr>
          <w:color w:val="000000"/>
          <w:lang w:val="lv-LV"/>
        </w:rPr>
        <w:t xml:space="preserve"> arī tās,</w:t>
      </w:r>
      <w:r>
        <w:rPr>
          <w:color w:val="000000"/>
          <w:lang w:val="lv-LV"/>
        </w:rPr>
        <w:t xml:space="preserve"> kas nav minētas šajā lietošanas instrukcijā, </w:t>
      </w:r>
      <w:r w:rsidR="0048092C">
        <w:rPr>
          <w:color w:val="000000"/>
          <w:lang w:val="lv-LV"/>
        </w:rPr>
        <w:t xml:space="preserve">vai domājat, ka zāles nav iedarbojušās, </w:t>
      </w:r>
      <w:r>
        <w:rPr>
          <w:color w:val="000000"/>
          <w:lang w:val="lv-LV"/>
        </w:rPr>
        <w:t>lūdzu, informējiet par t</w:t>
      </w:r>
      <w:r w:rsidR="0048092C">
        <w:rPr>
          <w:color w:val="000000"/>
          <w:lang w:val="lv-LV"/>
        </w:rPr>
        <w:t>o</w:t>
      </w:r>
      <w:r>
        <w:rPr>
          <w:color w:val="000000"/>
          <w:lang w:val="lv-LV"/>
        </w:rPr>
        <w:t xml:space="preserve"> savu veterinārārstu.</w:t>
      </w:r>
    </w:p>
    <w:p w14:paraId="280B14DD" w14:textId="41ADC70A" w:rsidR="00B47A0C" w:rsidRPr="00354FEA" w:rsidRDefault="00B47A0C" w:rsidP="008E12BC">
      <w:pPr>
        <w:tabs>
          <w:tab w:val="clear" w:pos="567"/>
        </w:tabs>
        <w:spacing w:line="240" w:lineRule="auto"/>
        <w:rPr>
          <w:color w:val="000000"/>
          <w:lang w:val="lv-LV"/>
        </w:rPr>
      </w:pPr>
      <w:r>
        <w:rPr>
          <w:color w:val="000000"/>
          <w:lang w:val="lv-LV"/>
        </w:rPr>
        <w:t>Iespējams ziņot arī nacionālā ziņošanas sistēmā</w:t>
      </w:r>
      <w:r w:rsidR="0048092C">
        <w:rPr>
          <w:color w:val="000000"/>
          <w:lang w:val="lv-LV"/>
        </w:rPr>
        <w:t>,</w:t>
      </w:r>
      <w:r>
        <w:rPr>
          <w:color w:val="000000"/>
          <w:lang w:val="lv-LV"/>
        </w:rPr>
        <w:t xml:space="preserve"> </w:t>
      </w:r>
      <w:r w:rsidR="0048092C" w:rsidRPr="0048092C">
        <w:rPr>
          <w:szCs w:val="22"/>
          <w:lang w:val="lv-LV"/>
        </w:rPr>
        <w:t xml:space="preserve"> </w:t>
      </w:r>
      <w:r w:rsidR="0048092C" w:rsidRPr="003B3907">
        <w:rPr>
          <w:szCs w:val="22"/>
          <w:lang w:val="lv-LV"/>
        </w:rPr>
        <w:t>kas atrodama Pārtikas un veterinārā dienesta tīmekļa vietnē www.pvd.gov.lv.</w:t>
      </w:r>
    </w:p>
    <w:p w14:paraId="4C2C1982" w14:textId="0A6C68C9" w:rsidR="008E12BC" w:rsidRDefault="008E12BC" w:rsidP="008E12BC">
      <w:pPr>
        <w:tabs>
          <w:tab w:val="clear" w:pos="567"/>
        </w:tabs>
        <w:spacing w:line="240" w:lineRule="auto"/>
        <w:rPr>
          <w:szCs w:val="24"/>
          <w:lang w:val="lv-LV"/>
        </w:rPr>
      </w:pPr>
    </w:p>
    <w:p w14:paraId="7BFC97A5" w14:textId="77777777" w:rsidR="009A5F71" w:rsidRDefault="009A5F71" w:rsidP="008E12BC">
      <w:pPr>
        <w:tabs>
          <w:tab w:val="clear" w:pos="567"/>
        </w:tabs>
        <w:spacing w:line="240" w:lineRule="auto"/>
        <w:rPr>
          <w:szCs w:val="24"/>
          <w:lang w:val="lv-LV"/>
        </w:rPr>
      </w:pPr>
    </w:p>
    <w:p w14:paraId="52DB650B"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7.</w:t>
      </w:r>
      <w:r>
        <w:rPr>
          <w:b/>
          <w:szCs w:val="24"/>
          <w:lang w:val="lv-LV"/>
        </w:rPr>
        <w:tab/>
        <w:t>MĒRĶA SUGAS</w:t>
      </w:r>
    </w:p>
    <w:p w14:paraId="45C04883" w14:textId="68289060" w:rsidR="008E12BC" w:rsidRDefault="008E12BC" w:rsidP="008E12BC">
      <w:pPr>
        <w:tabs>
          <w:tab w:val="clear" w:pos="567"/>
          <w:tab w:val="left" w:pos="572"/>
        </w:tabs>
        <w:spacing w:before="120"/>
        <w:rPr>
          <w:szCs w:val="24"/>
          <w:lang w:val="lv-LV"/>
        </w:rPr>
      </w:pPr>
      <w:r>
        <w:rPr>
          <w:szCs w:val="24"/>
          <w:lang w:val="lv-LV"/>
        </w:rPr>
        <w:t>Liellopi (govis, teles), cūkas (sivēnmātes, jauncūkas), zirgi (ķēves)</w:t>
      </w:r>
      <w:r w:rsidR="009A5F71">
        <w:rPr>
          <w:szCs w:val="24"/>
          <w:lang w:val="lv-LV"/>
        </w:rPr>
        <w:t>.</w:t>
      </w:r>
    </w:p>
    <w:p w14:paraId="7CAAAA8B" w14:textId="245290BA" w:rsidR="008E12BC" w:rsidRDefault="008E12BC" w:rsidP="008E12BC">
      <w:pPr>
        <w:tabs>
          <w:tab w:val="clear" w:pos="567"/>
        </w:tabs>
        <w:spacing w:line="240" w:lineRule="auto"/>
        <w:rPr>
          <w:szCs w:val="24"/>
          <w:lang w:val="lv-LV"/>
        </w:rPr>
      </w:pPr>
    </w:p>
    <w:p w14:paraId="0E86E5BF" w14:textId="77777777" w:rsidR="009A5F71" w:rsidRDefault="009A5F71" w:rsidP="008E12BC">
      <w:pPr>
        <w:tabs>
          <w:tab w:val="clear" w:pos="567"/>
        </w:tabs>
        <w:spacing w:line="240" w:lineRule="auto"/>
        <w:rPr>
          <w:szCs w:val="24"/>
          <w:lang w:val="lv-LV"/>
        </w:rPr>
      </w:pPr>
    </w:p>
    <w:p w14:paraId="3A5D9859"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8.</w:t>
      </w:r>
      <w:r>
        <w:rPr>
          <w:b/>
          <w:szCs w:val="24"/>
          <w:lang w:val="lv-LV"/>
        </w:rPr>
        <w:tab/>
        <w:t>DEVAS ATKARĪBĀ NO DZĪVNIEKU SUGAS, LIETOŠANAS VEIDA UN METODES</w:t>
      </w:r>
    </w:p>
    <w:p w14:paraId="33AA5FEE" w14:textId="77777777" w:rsidR="008E12BC" w:rsidRDefault="008E12BC" w:rsidP="008E12BC">
      <w:pPr>
        <w:ind w:left="26"/>
        <w:rPr>
          <w:szCs w:val="24"/>
          <w:lang w:val="lv-LV"/>
        </w:rPr>
      </w:pPr>
    </w:p>
    <w:p w14:paraId="2A2EFFE2" w14:textId="63FF091F" w:rsidR="008E12BC" w:rsidRDefault="008E12BC" w:rsidP="008E12BC">
      <w:pPr>
        <w:ind w:left="26"/>
        <w:rPr>
          <w:color w:val="000000"/>
          <w:szCs w:val="24"/>
          <w:lang w:val="lv-LV"/>
        </w:rPr>
      </w:pPr>
      <w:r>
        <w:rPr>
          <w:szCs w:val="24"/>
          <w:lang w:val="lv-LV"/>
        </w:rPr>
        <w:t>Intramuskulārām vai subkutānām injekcijām.</w:t>
      </w:r>
      <w:r>
        <w:rPr>
          <w:i/>
          <w:szCs w:val="24"/>
          <w:lang w:val="lv-LV"/>
        </w:rPr>
        <w:t xml:space="preserve"> </w:t>
      </w:r>
      <w:r>
        <w:rPr>
          <w:szCs w:val="24"/>
          <w:lang w:val="lv-LV"/>
        </w:rPr>
        <w:t>Intramuskulāras injekcijas ieteicams veikt kakla rajonā. Zāles ir paredzētas vienreizējai ievadīšanai, izņēmums ir to lietošana „Ovsynch” sinhronizētās mākslīgās apsēklošanas protokola ietvaros.</w:t>
      </w:r>
      <w:r>
        <w:rPr>
          <w:i/>
          <w:szCs w:val="24"/>
          <w:lang w:val="lv-LV"/>
        </w:rPr>
        <w:t xml:space="preserve"> </w:t>
      </w:r>
      <w:r>
        <w:rPr>
          <w:color w:val="000000"/>
          <w:szCs w:val="24"/>
          <w:lang w:val="lv-LV"/>
        </w:rPr>
        <w:t xml:space="preserve">Zāļu deva ml un gonadorelīna[6-D-Phe] deva µg </w:t>
      </w:r>
      <w:r w:rsidR="009779F3">
        <w:rPr>
          <w:color w:val="000000"/>
          <w:szCs w:val="24"/>
          <w:lang w:val="lv-LV"/>
        </w:rPr>
        <w:t>uz</w:t>
      </w:r>
      <w:r>
        <w:rPr>
          <w:color w:val="000000"/>
          <w:szCs w:val="24"/>
          <w:lang w:val="lv-LV"/>
        </w:rPr>
        <w:t xml:space="preserve"> dzīvniek</w:t>
      </w:r>
      <w:r w:rsidR="009779F3">
        <w:rPr>
          <w:color w:val="000000"/>
          <w:szCs w:val="24"/>
          <w:lang w:val="lv-LV"/>
        </w:rPr>
        <w:t>u</w:t>
      </w:r>
      <w:r>
        <w:rPr>
          <w:color w:val="000000"/>
          <w:szCs w:val="24"/>
          <w:lang w:val="lv-LV"/>
        </w:rPr>
        <w:t xml:space="preserve">. </w:t>
      </w:r>
    </w:p>
    <w:p w14:paraId="681B5372" w14:textId="77777777" w:rsidR="008E12BC" w:rsidRDefault="008E12BC" w:rsidP="008E12BC">
      <w:pPr>
        <w:ind w:left="26"/>
        <w:rPr>
          <w:i/>
          <w:szCs w:val="24"/>
          <w:lang w:val="lv-LV"/>
        </w:rPr>
      </w:pPr>
    </w:p>
    <w:p w14:paraId="7B5D2E27" w14:textId="11D1D573" w:rsidR="008E12BC" w:rsidRDefault="008E12BC" w:rsidP="008E12BC">
      <w:pPr>
        <w:tabs>
          <w:tab w:val="right" w:pos="9071"/>
        </w:tabs>
        <w:spacing w:before="120"/>
        <w:ind w:left="26"/>
        <w:rPr>
          <w:szCs w:val="24"/>
          <w:lang w:val="lv-LV"/>
        </w:rPr>
      </w:pPr>
      <w:r>
        <w:rPr>
          <w:szCs w:val="24"/>
          <w:u w:val="single"/>
          <w:lang w:val="lv-LV"/>
        </w:rPr>
        <w:t>Liellopi</w:t>
      </w:r>
      <w:r w:rsidR="009779F3">
        <w:rPr>
          <w:szCs w:val="24"/>
          <w:u w:val="single"/>
          <w:lang w:val="lv-LV"/>
        </w:rPr>
        <w:t>em</w:t>
      </w:r>
      <w:r>
        <w:rPr>
          <w:szCs w:val="24"/>
          <w:u w:val="single"/>
          <w:lang w:val="lv-LV"/>
        </w:rPr>
        <w:t xml:space="preserve"> (gov</w:t>
      </w:r>
      <w:r w:rsidR="009779F3">
        <w:rPr>
          <w:szCs w:val="24"/>
          <w:u w:val="single"/>
          <w:lang w:val="lv-LV"/>
        </w:rPr>
        <w:t>īm</w:t>
      </w:r>
      <w:r>
        <w:rPr>
          <w:szCs w:val="24"/>
          <w:u w:val="single"/>
          <w:lang w:val="lv-LV"/>
        </w:rPr>
        <w:t xml:space="preserve"> un tel</w:t>
      </w:r>
      <w:r w:rsidR="009779F3">
        <w:rPr>
          <w:szCs w:val="24"/>
          <w:u w:val="single"/>
          <w:lang w:val="lv-LV"/>
        </w:rPr>
        <w:t>ēm</w:t>
      </w:r>
      <w:r>
        <w:rPr>
          <w:szCs w:val="24"/>
          <w:u w:val="single"/>
          <w:lang w:val="lv-LV"/>
        </w:rPr>
        <w:t>)</w:t>
      </w:r>
      <w:r>
        <w:rPr>
          <w:szCs w:val="24"/>
          <w:lang w:val="lv-LV"/>
        </w:rPr>
        <w:t xml:space="preserve"> intramuskulāras injekcijas veidā:</w:t>
      </w:r>
      <w:r>
        <w:rPr>
          <w:sz w:val="24"/>
          <w:szCs w:val="24"/>
          <w:lang w:val="lv-LV"/>
        </w:rPr>
        <w:tab/>
      </w:r>
      <w:r>
        <w:rPr>
          <w:szCs w:val="24"/>
          <w:lang w:val="lv-LV"/>
        </w:rPr>
        <w:t>1,0</w:t>
      </w:r>
      <w:r w:rsidR="009779F3">
        <w:rPr>
          <w:szCs w:val="24"/>
          <w:lang w:val="lv-LV"/>
        </w:rPr>
        <w:t> </w:t>
      </w:r>
      <w:r>
        <w:rPr>
          <w:szCs w:val="24"/>
          <w:lang w:val="lv-LV"/>
        </w:rPr>
        <w:noBreakHyphen/>
      </w:r>
      <w:r w:rsidR="009779F3">
        <w:rPr>
          <w:szCs w:val="24"/>
          <w:lang w:val="lv-LV"/>
        </w:rPr>
        <w:t> </w:t>
      </w:r>
      <w:r>
        <w:rPr>
          <w:szCs w:val="24"/>
          <w:lang w:val="lv-LV"/>
        </w:rPr>
        <w:t>2,0 ml</w:t>
      </w:r>
    </w:p>
    <w:p w14:paraId="40C08408" w14:textId="39F65FEA" w:rsidR="008E12BC" w:rsidRDefault="008E12BC" w:rsidP="008E12BC">
      <w:pPr>
        <w:tabs>
          <w:tab w:val="right" w:pos="9071"/>
        </w:tabs>
        <w:rPr>
          <w:szCs w:val="24"/>
          <w:lang w:val="lv-LV"/>
        </w:rPr>
      </w:pPr>
      <w:r>
        <w:rPr>
          <w:szCs w:val="24"/>
          <w:lang w:val="lv-LV"/>
        </w:rPr>
        <w:t>(atbilst 50</w:t>
      </w:r>
      <w:r w:rsidR="009779F3">
        <w:rPr>
          <w:szCs w:val="24"/>
          <w:lang w:val="lv-LV"/>
        </w:rPr>
        <w:t> </w:t>
      </w:r>
      <w:r>
        <w:rPr>
          <w:szCs w:val="24"/>
          <w:lang w:val="lv-LV"/>
        </w:rPr>
        <w:noBreakHyphen/>
      </w:r>
      <w:r w:rsidR="009779F3">
        <w:rPr>
          <w:szCs w:val="24"/>
          <w:lang w:val="lv-LV"/>
        </w:rPr>
        <w:t> </w:t>
      </w:r>
      <w:r>
        <w:rPr>
          <w:szCs w:val="24"/>
          <w:lang w:val="lv-LV"/>
        </w:rPr>
        <w:t>100 µg gonadorelīna[6-D-Phe])</w:t>
      </w:r>
    </w:p>
    <w:p w14:paraId="3495F61B" w14:textId="3BCA6442" w:rsidR="008E12BC" w:rsidRDefault="008E12BC" w:rsidP="008E12BC">
      <w:pPr>
        <w:tabs>
          <w:tab w:val="clear" w:pos="567"/>
          <w:tab w:val="left" w:pos="6946"/>
          <w:tab w:val="right" w:pos="9072"/>
        </w:tabs>
        <w:ind w:left="142" w:hanging="142"/>
        <w:rPr>
          <w:szCs w:val="24"/>
          <w:lang w:val="lv-LV"/>
        </w:rPr>
      </w:pPr>
      <w:r>
        <w:rPr>
          <w:szCs w:val="24"/>
          <w:lang w:val="lv-LV"/>
        </w:rPr>
        <w:t xml:space="preserve">- ovulācijas </w:t>
      </w:r>
      <w:r w:rsidR="009779F3">
        <w:rPr>
          <w:lang w:val="lv-LV"/>
        </w:rPr>
        <w:t>ierosināšanai</w:t>
      </w:r>
      <w:r w:rsidR="009779F3" w:rsidDel="009779F3">
        <w:rPr>
          <w:szCs w:val="24"/>
          <w:lang w:val="lv-LV"/>
        </w:rPr>
        <w:t xml:space="preserve"> </w:t>
      </w:r>
      <w:r>
        <w:rPr>
          <w:szCs w:val="24"/>
          <w:lang w:val="lv-LV"/>
        </w:rPr>
        <w:t>aizkavētas ovulācijas gadījumā LH deficīta dēļ</w:t>
      </w:r>
      <w:r>
        <w:rPr>
          <w:szCs w:val="24"/>
          <w:lang w:val="lv-LV"/>
        </w:rPr>
        <w:tab/>
      </w:r>
      <w:r>
        <w:rPr>
          <w:szCs w:val="24"/>
          <w:lang w:val="lv-LV"/>
        </w:rPr>
        <w:tab/>
        <w:t>2,0 ml</w:t>
      </w:r>
    </w:p>
    <w:p w14:paraId="780F436B" w14:textId="5E75000E" w:rsidR="008E12BC" w:rsidRDefault="008E12BC" w:rsidP="008E12BC">
      <w:pPr>
        <w:tabs>
          <w:tab w:val="right" w:pos="9071"/>
        </w:tabs>
        <w:ind w:left="142" w:hanging="142"/>
        <w:rPr>
          <w:szCs w:val="24"/>
          <w:lang w:val="lv-LV"/>
        </w:rPr>
      </w:pPr>
      <w:r>
        <w:rPr>
          <w:szCs w:val="24"/>
          <w:lang w:val="lv-LV"/>
        </w:rPr>
        <w:t xml:space="preserve">- ovulācijas </w:t>
      </w:r>
      <w:r w:rsidR="009779F3">
        <w:rPr>
          <w:lang w:val="lv-LV"/>
        </w:rPr>
        <w:t>ierosināšanai</w:t>
      </w:r>
      <w:r>
        <w:rPr>
          <w:szCs w:val="24"/>
          <w:lang w:val="lv-LV"/>
        </w:rPr>
        <w:t>/sinhronizācija</w:t>
      </w:r>
      <w:r w:rsidR="009779F3">
        <w:rPr>
          <w:szCs w:val="24"/>
          <w:lang w:val="lv-LV"/>
        </w:rPr>
        <w:t>i</w:t>
      </w:r>
      <w:r>
        <w:rPr>
          <w:szCs w:val="24"/>
          <w:lang w:val="lv-LV"/>
        </w:rPr>
        <w:t xml:space="preserve"> sinhronizētās apsēklošanas sistēmas ietvaros</w:t>
      </w:r>
      <w:r>
        <w:rPr>
          <w:szCs w:val="24"/>
          <w:lang w:val="lv-LV"/>
        </w:rPr>
        <w:tab/>
        <w:t>1,0</w:t>
      </w:r>
      <w:r w:rsidR="009779F3">
        <w:rPr>
          <w:szCs w:val="24"/>
          <w:lang w:val="lv-LV"/>
        </w:rPr>
        <w:t> </w:t>
      </w:r>
      <w:r>
        <w:rPr>
          <w:szCs w:val="24"/>
          <w:lang w:val="lv-LV"/>
        </w:rPr>
        <w:noBreakHyphen/>
      </w:r>
      <w:r w:rsidR="009779F3">
        <w:rPr>
          <w:szCs w:val="24"/>
          <w:lang w:val="lv-LV"/>
        </w:rPr>
        <w:t> </w:t>
      </w:r>
      <w:r>
        <w:rPr>
          <w:szCs w:val="24"/>
          <w:lang w:val="lv-LV"/>
        </w:rPr>
        <w:t>2,0 ml</w:t>
      </w:r>
    </w:p>
    <w:p w14:paraId="7C9A695C" w14:textId="36A5CEE3" w:rsidR="008E12BC" w:rsidRDefault="008E12BC" w:rsidP="008E12BC">
      <w:pPr>
        <w:tabs>
          <w:tab w:val="clear" w:pos="567"/>
          <w:tab w:val="left" w:pos="6946"/>
          <w:tab w:val="left" w:pos="8080"/>
          <w:tab w:val="right" w:pos="9072"/>
        </w:tabs>
        <w:spacing w:before="40" w:line="240" w:lineRule="auto"/>
        <w:ind w:left="142" w:hanging="142"/>
        <w:rPr>
          <w:szCs w:val="24"/>
          <w:lang w:val="lv-LV"/>
        </w:rPr>
      </w:pPr>
      <w:r>
        <w:rPr>
          <w:szCs w:val="24"/>
          <w:lang w:val="lv-LV"/>
        </w:rPr>
        <w:t>- olnīcu stimulācija</w:t>
      </w:r>
      <w:r w:rsidR="009779F3">
        <w:rPr>
          <w:szCs w:val="24"/>
          <w:lang w:val="lv-LV"/>
        </w:rPr>
        <w:t>i</w:t>
      </w:r>
      <w:r>
        <w:rPr>
          <w:szCs w:val="24"/>
          <w:lang w:val="lv-LV"/>
        </w:rPr>
        <w:t xml:space="preserve"> pēc</w:t>
      </w:r>
      <w:r w:rsidR="009779F3">
        <w:rPr>
          <w:szCs w:val="24"/>
          <w:lang w:val="lv-LV"/>
        </w:rPr>
        <w:t>dzemdību</w:t>
      </w:r>
      <w:r>
        <w:rPr>
          <w:szCs w:val="24"/>
          <w:lang w:val="lv-LV"/>
        </w:rPr>
        <w:t xml:space="preserve"> periodā, sākot no 12. dienas pēc </w:t>
      </w:r>
      <w:r w:rsidR="009779F3">
        <w:rPr>
          <w:szCs w:val="24"/>
          <w:lang w:val="lv-LV"/>
        </w:rPr>
        <w:t>dzemdībām</w:t>
      </w:r>
      <w:r>
        <w:rPr>
          <w:szCs w:val="24"/>
          <w:lang w:val="lv-LV"/>
        </w:rPr>
        <w:tab/>
      </w:r>
      <w:r>
        <w:rPr>
          <w:szCs w:val="24"/>
          <w:lang w:val="lv-LV"/>
        </w:rPr>
        <w:tab/>
      </w:r>
      <w:r>
        <w:rPr>
          <w:szCs w:val="24"/>
          <w:lang w:val="lv-LV"/>
        </w:rPr>
        <w:tab/>
        <w:t>1,0 ml</w:t>
      </w:r>
    </w:p>
    <w:p w14:paraId="4AC8FA9D" w14:textId="77777777" w:rsidR="008E12BC" w:rsidRDefault="008E12BC" w:rsidP="008E12BC">
      <w:pPr>
        <w:tabs>
          <w:tab w:val="clear" w:pos="567"/>
          <w:tab w:val="left" w:pos="6946"/>
          <w:tab w:val="left" w:pos="8080"/>
          <w:tab w:val="right" w:pos="9072"/>
        </w:tabs>
        <w:spacing w:before="40" w:line="240" w:lineRule="auto"/>
        <w:ind w:left="142" w:hanging="142"/>
        <w:rPr>
          <w:szCs w:val="24"/>
          <w:lang w:val="lv-LV"/>
        </w:rPr>
      </w:pPr>
      <w:r>
        <w:rPr>
          <w:szCs w:val="24"/>
          <w:lang w:val="lv-LV"/>
        </w:rPr>
        <w:t xml:space="preserve">- olnīcu cistas (LH deficīta dēļ) </w:t>
      </w:r>
      <w:r>
        <w:rPr>
          <w:szCs w:val="24"/>
          <w:lang w:val="lv-LV"/>
        </w:rPr>
        <w:tab/>
      </w:r>
      <w:r>
        <w:rPr>
          <w:szCs w:val="24"/>
          <w:lang w:val="lv-LV"/>
        </w:rPr>
        <w:tab/>
      </w:r>
      <w:r>
        <w:rPr>
          <w:szCs w:val="24"/>
          <w:lang w:val="lv-LV"/>
        </w:rPr>
        <w:tab/>
        <w:t>2,0 ml</w:t>
      </w:r>
    </w:p>
    <w:p w14:paraId="1B432D2F" w14:textId="77777777" w:rsidR="008E12BC" w:rsidRDefault="008E12BC" w:rsidP="008E12BC">
      <w:pPr>
        <w:tabs>
          <w:tab w:val="clear" w:pos="567"/>
          <w:tab w:val="left" w:pos="6946"/>
          <w:tab w:val="right" w:pos="9072"/>
        </w:tabs>
        <w:spacing w:before="40" w:line="240" w:lineRule="auto"/>
        <w:rPr>
          <w:szCs w:val="24"/>
          <w:lang w:val="lv-LV"/>
        </w:rPr>
      </w:pPr>
    </w:p>
    <w:p w14:paraId="725F6F0E" w14:textId="7DA4DC8A" w:rsidR="008E12BC" w:rsidRDefault="008E12BC" w:rsidP="00354FEA">
      <w:pPr>
        <w:tabs>
          <w:tab w:val="right" w:pos="567"/>
          <w:tab w:val="left" w:pos="7797"/>
          <w:tab w:val="right" w:pos="9072"/>
        </w:tabs>
        <w:ind w:left="26"/>
        <w:rPr>
          <w:szCs w:val="24"/>
          <w:lang w:val="lv-LV"/>
        </w:rPr>
      </w:pPr>
      <w:r>
        <w:rPr>
          <w:szCs w:val="24"/>
          <w:u w:val="single"/>
          <w:lang w:val="lv-LV"/>
        </w:rPr>
        <w:t>Cūk</w:t>
      </w:r>
      <w:r w:rsidR="009779F3">
        <w:rPr>
          <w:szCs w:val="24"/>
          <w:u w:val="single"/>
          <w:lang w:val="lv-LV"/>
        </w:rPr>
        <w:t>ām</w:t>
      </w:r>
      <w:r>
        <w:rPr>
          <w:szCs w:val="24"/>
          <w:u w:val="single"/>
          <w:lang w:val="lv-LV"/>
        </w:rPr>
        <w:t xml:space="preserve"> (sivēnmāt</w:t>
      </w:r>
      <w:r w:rsidR="009779F3">
        <w:rPr>
          <w:szCs w:val="24"/>
          <w:u w:val="single"/>
          <w:lang w:val="lv-LV"/>
        </w:rPr>
        <w:t>ēm</w:t>
      </w:r>
      <w:r>
        <w:rPr>
          <w:szCs w:val="24"/>
          <w:u w:val="single"/>
          <w:lang w:val="lv-LV"/>
        </w:rPr>
        <w:t xml:space="preserve"> un jauncūk</w:t>
      </w:r>
      <w:r w:rsidR="00683319" w:rsidRPr="00354FEA">
        <w:rPr>
          <w:szCs w:val="24"/>
          <w:u w:val="single"/>
          <w:lang w:val="lv-LV"/>
        </w:rPr>
        <w:t>ā</w:t>
      </w:r>
      <w:r w:rsidR="009779F3">
        <w:rPr>
          <w:szCs w:val="24"/>
          <w:u w:val="single"/>
          <w:lang w:val="lv-LV"/>
        </w:rPr>
        <w:t>m</w:t>
      </w:r>
      <w:r>
        <w:rPr>
          <w:szCs w:val="24"/>
          <w:u w:val="single"/>
          <w:lang w:val="lv-LV"/>
        </w:rPr>
        <w:t>)</w:t>
      </w:r>
      <w:r>
        <w:rPr>
          <w:szCs w:val="24"/>
          <w:lang w:val="lv-LV"/>
        </w:rPr>
        <w:t xml:space="preserve"> intramuskulāras vai subkutānas injekcijas veidā:</w:t>
      </w:r>
      <w:r>
        <w:rPr>
          <w:szCs w:val="24"/>
          <w:lang w:val="lv-LV"/>
        </w:rPr>
        <w:tab/>
      </w:r>
      <w:r>
        <w:rPr>
          <w:szCs w:val="24"/>
          <w:lang w:val="lv-LV"/>
        </w:rPr>
        <w:tab/>
        <w:t>0,5</w:t>
      </w:r>
      <w:r w:rsidR="009779F3">
        <w:rPr>
          <w:szCs w:val="24"/>
          <w:lang w:val="lv-LV"/>
        </w:rPr>
        <w:t> </w:t>
      </w:r>
      <w:r>
        <w:rPr>
          <w:szCs w:val="24"/>
          <w:lang w:val="lv-LV"/>
        </w:rPr>
        <w:noBreakHyphen/>
      </w:r>
      <w:r w:rsidR="009779F3">
        <w:rPr>
          <w:szCs w:val="24"/>
          <w:lang w:val="lv-LV"/>
        </w:rPr>
        <w:t> </w:t>
      </w:r>
      <w:r>
        <w:rPr>
          <w:szCs w:val="24"/>
          <w:lang w:val="lv-LV"/>
        </w:rPr>
        <w:t>1,5 ml</w:t>
      </w:r>
    </w:p>
    <w:p w14:paraId="52346AA4" w14:textId="38AD8D26" w:rsidR="008E12BC" w:rsidRDefault="008E12BC" w:rsidP="008E12BC">
      <w:pPr>
        <w:tabs>
          <w:tab w:val="right" w:pos="9071"/>
        </w:tabs>
        <w:rPr>
          <w:szCs w:val="24"/>
          <w:lang w:val="lv-LV"/>
        </w:rPr>
      </w:pPr>
      <w:r>
        <w:rPr>
          <w:szCs w:val="24"/>
          <w:lang w:val="lv-LV"/>
        </w:rPr>
        <w:t>(atbilst 25</w:t>
      </w:r>
      <w:r w:rsidR="009779F3">
        <w:rPr>
          <w:szCs w:val="24"/>
          <w:lang w:val="lv-LV"/>
        </w:rPr>
        <w:t> </w:t>
      </w:r>
      <w:r>
        <w:rPr>
          <w:szCs w:val="24"/>
          <w:lang w:val="lv-LV"/>
        </w:rPr>
        <w:noBreakHyphen/>
      </w:r>
      <w:r w:rsidR="009779F3">
        <w:rPr>
          <w:szCs w:val="24"/>
          <w:lang w:val="lv-LV"/>
        </w:rPr>
        <w:t> </w:t>
      </w:r>
      <w:r>
        <w:rPr>
          <w:szCs w:val="24"/>
          <w:lang w:val="lv-LV"/>
        </w:rPr>
        <w:t>75 µg gonadorelīna[6-D-Phe])</w:t>
      </w:r>
    </w:p>
    <w:p w14:paraId="3FEBE77A" w14:textId="04D84B84" w:rsidR="008E12BC" w:rsidRDefault="008E12BC" w:rsidP="008E12BC">
      <w:pPr>
        <w:pStyle w:val="ListParagraph1"/>
        <w:numPr>
          <w:ilvl w:val="0"/>
          <w:numId w:val="3"/>
        </w:numPr>
        <w:ind w:left="142" w:hanging="142"/>
        <w:jc w:val="both"/>
        <w:rPr>
          <w:rFonts w:ascii="Times New Roman" w:hAnsi="Times New Roman" w:cs="Times New Roman"/>
          <w:lang w:val="lv-LV"/>
        </w:rPr>
      </w:pPr>
      <w:r>
        <w:rPr>
          <w:rFonts w:ascii="Times New Roman" w:hAnsi="Times New Roman" w:cs="Times New Roman"/>
          <w:lang w:val="lv-LV"/>
        </w:rPr>
        <w:t xml:space="preserve">ovulācijas </w:t>
      </w:r>
      <w:r w:rsidR="009779F3">
        <w:rPr>
          <w:rFonts w:ascii="Times New Roman" w:hAnsi="Times New Roman" w:cs="Times New Roman"/>
          <w:lang w:val="lv-LV"/>
        </w:rPr>
        <w:t>ierosināšanai</w:t>
      </w:r>
      <w:r>
        <w:rPr>
          <w:rFonts w:ascii="Times New Roman" w:hAnsi="Times New Roman" w:cs="Times New Roman"/>
          <w:lang w:val="lv-LV"/>
        </w:rPr>
        <w:t>/sinhronizācija</w:t>
      </w:r>
      <w:r w:rsidR="009779F3">
        <w:rPr>
          <w:rFonts w:ascii="Times New Roman" w:hAnsi="Times New Roman" w:cs="Times New Roman"/>
          <w:lang w:val="lv-LV"/>
        </w:rPr>
        <w:t>i</w:t>
      </w:r>
      <w:r>
        <w:rPr>
          <w:rFonts w:ascii="Times New Roman" w:hAnsi="Times New Roman" w:cs="Times New Roman"/>
          <w:lang w:val="lv-LV"/>
        </w:rPr>
        <w:t xml:space="preserve"> sinhronizētās apsēklošanas sistēmas ietvaros un </w:t>
      </w:r>
      <w:r w:rsidR="009779F3">
        <w:rPr>
          <w:rFonts w:ascii="Times New Roman" w:hAnsi="Times New Roman" w:cs="Times New Roman"/>
          <w:lang w:val="lv-LV"/>
        </w:rPr>
        <w:t xml:space="preserve">dzemdību </w:t>
      </w:r>
      <w:r>
        <w:rPr>
          <w:rFonts w:ascii="Times New Roman" w:hAnsi="Times New Roman" w:cs="Times New Roman"/>
          <w:lang w:val="lv-LV"/>
        </w:rPr>
        <w:t>sinhronizācija</w:t>
      </w:r>
      <w:r w:rsidR="009779F3">
        <w:rPr>
          <w:rFonts w:ascii="Times New Roman" w:hAnsi="Times New Roman" w:cs="Times New Roman"/>
          <w:lang w:val="lv-LV"/>
        </w:rPr>
        <w:t>i</w:t>
      </w:r>
    </w:p>
    <w:p w14:paraId="581BFB40" w14:textId="78D5B5A1" w:rsidR="008E12BC" w:rsidRDefault="008E12BC" w:rsidP="008E12BC">
      <w:pPr>
        <w:tabs>
          <w:tab w:val="left" w:pos="4820"/>
          <w:tab w:val="right" w:pos="9071"/>
        </w:tabs>
        <w:spacing w:before="120"/>
        <w:ind w:left="142"/>
        <w:rPr>
          <w:szCs w:val="24"/>
          <w:lang w:val="lv-LV"/>
        </w:rPr>
      </w:pPr>
      <w:r>
        <w:rPr>
          <w:szCs w:val="24"/>
          <w:lang w:val="lv-LV"/>
        </w:rPr>
        <w:t>Sivēnmāt</w:t>
      </w:r>
      <w:r w:rsidR="009779F3">
        <w:rPr>
          <w:szCs w:val="24"/>
          <w:lang w:val="lv-LV"/>
        </w:rPr>
        <w:t>ēm</w:t>
      </w:r>
      <w:r>
        <w:rPr>
          <w:szCs w:val="24"/>
          <w:lang w:val="lv-LV"/>
        </w:rPr>
        <w:t>:</w:t>
      </w:r>
      <w:r>
        <w:rPr>
          <w:i/>
          <w:szCs w:val="24"/>
          <w:lang w:val="lv-LV"/>
        </w:rPr>
        <w:tab/>
      </w:r>
      <w:r>
        <w:rPr>
          <w:i/>
          <w:szCs w:val="24"/>
          <w:lang w:val="lv-LV"/>
        </w:rPr>
        <w:tab/>
      </w:r>
      <w:r>
        <w:rPr>
          <w:szCs w:val="24"/>
          <w:lang w:val="lv-LV"/>
        </w:rPr>
        <w:t>0,5</w:t>
      </w:r>
      <w:r w:rsidR="009779F3">
        <w:rPr>
          <w:szCs w:val="24"/>
          <w:lang w:val="lv-LV"/>
        </w:rPr>
        <w:t> </w:t>
      </w:r>
      <w:r>
        <w:rPr>
          <w:szCs w:val="24"/>
          <w:lang w:val="lv-LV"/>
        </w:rPr>
        <w:noBreakHyphen/>
      </w:r>
      <w:r w:rsidR="009779F3">
        <w:rPr>
          <w:szCs w:val="24"/>
          <w:lang w:val="lv-LV"/>
        </w:rPr>
        <w:t> </w:t>
      </w:r>
      <w:r>
        <w:rPr>
          <w:szCs w:val="24"/>
          <w:lang w:val="lv-LV"/>
        </w:rPr>
        <w:t>1,0 ml</w:t>
      </w:r>
    </w:p>
    <w:p w14:paraId="4482AE7A" w14:textId="39A5E7E9" w:rsidR="008E12BC" w:rsidRDefault="008E12BC" w:rsidP="008E12BC">
      <w:pPr>
        <w:tabs>
          <w:tab w:val="left" w:pos="4820"/>
          <w:tab w:val="right" w:pos="9071"/>
        </w:tabs>
        <w:spacing w:before="120"/>
        <w:ind w:left="142"/>
        <w:rPr>
          <w:szCs w:val="24"/>
          <w:lang w:val="lv-LV"/>
        </w:rPr>
      </w:pPr>
      <w:r>
        <w:rPr>
          <w:szCs w:val="24"/>
          <w:lang w:val="lv-LV"/>
        </w:rPr>
        <w:t>Jauncūk</w:t>
      </w:r>
      <w:r w:rsidR="009779F3">
        <w:rPr>
          <w:szCs w:val="24"/>
          <w:lang w:val="lv-LV"/>
        </w:rPr>
        <w:t>ām</w:t>
      </w:r>
      <w:r>
        <w:rPr>
          <w:szCs w:val="24"/>
          <w:lang w:val="lv-LV"/>
        </w:rPr>
        <w:t>:</w:t>
      </w:r>
      <w:r>
        <w:rPr>
          <w:szCs w:val="24"/>
          <w:lang w:val="lv-LV"/>
        </w:rPr>
        <w:tab/>
      </w:r>
      <w:r>
        <w:rPr>
          <w:szCs w:val="24"/>
          <w:lang w:val="lv-LV"/>
        </w:rPr>
        <w:tab/>
        <w:t>1,0</w:t>
      </w:r>
      <w:r w:rsidR="009779F3">
        <w:rPr>
          <w:szCs w:val="24"/>
          <w:lang w:val="lv-LV"/>
        </w:rPr>
        <w:t> </w:t>
      </w:r>
      <w:r>
        <w:rPr>
          <w:szCs w:val="24"/>
          <w:lang w:val="lv-LV"/>
        </w:rPr>
        <w:noBreakHyphen/>
      </w:r>
      <w:r w:rsidR="009779F3">
        <w:rPr>
          <w:szCs w:val="24"/>
          <w:lang w:val="lv-LV"/>
        </w:rPr>
        <w:t> </w:t>
      </w:r>
      <w:r>
        <w:rPr>
          <w:szCs w:val="24"/>
          <w:lang w:val="lv-LV"/>
        </w:rPr>
        <w:t>1,5 ml</w:t>
      </w:r>
    </w:p>
    <w:p w14:paraId="646C4B32" w14:textId="2CBEAA64" w:rsidR="008E12BC" w:rsidRDefault="008E12BC" w:rsidP="008E12BC">
      <w:pPr>
        <w:tabs>
          <w:tab w:val="right" w:pos="9072"/>
        </w:tabs>
        <w:spacing w:before="120"/>
        <w:ind w:left="26"/>
        <w:rPr>
          <w:szCs w:val="24"/>
          <w:lang w:val="lv-LV"/>
        </w:rPr>
      </w:pPr>
      <w:r>
        <w:rPr>
          <w:szCs w:val="24"/>
          <w:u w:val="single"/>
          <w:lang w:val="lv-LV"/>
        </w:rPr>
        <w:t>Zirgi</w:t>
      </w:r>
      <w:r w:rsidR="009779F3">
        <w:rPr>
          <w:szCs w:val="24"/>
          <w:u w:val="single"/>
          <w:lang w:val="lv-LV"/>
        </w:rPr>
        <w:t>em</w:t>
      </w:r>
      <w:r>
        <w:rPr>
          <w:szCs w:val="24"/>
          <w:u w:val="single"/>
          <w:lang w:val="lv-LV"/>
        </w:rPr>
        <w:t xml:space="preserve"> (ķēv</w:t>
      </w:r>
      <w:r w:rsidR="009779F3">
        <w:rPr>
          <w:szCs w:val="24"/>
          <w:u w:val="single"/>
          <w:lang w:val="lv-LV"/>
        </w:rPr>
        <w:t>ēm</w:t>
      </w:r>
      <w:r>
        <w:rPr>
          <w:szCs w:val="24"/>
          <w:u w:val="single"/>
          <w:lang w:val="lv-LV"/>
        </w:rPr>
        <w:t>)</w:t>
      </w:r>
      <w:r>
        <w:rPr>
          <w:szCs w:val="24"/>
          <w:lang w:val="lv-LV"/>
        </w:rPr>
        <w:t xml:space="preserve"> intramuskulāras injekcijas veidā:</w:t>
      </w:r>
      <w:r>
        <w:rPr>
          <w:i/>
          <w:szCs w:val="24"/>
          <w:lang w:val="lv-LV"/>
        </w:rPr>
        <w:tab/>
      </w:r>
      <w:r>
        <w:rPr>
          <w:szCs w:val="24"/>
          <w:lang w:val="lv-LV"/>
        </w:rPr>
        <w:t>2,0 ml</w:t>
      </w:r>
    </w:p>
    <w:p w14:paraId="298DA4F1" w14:textId="299B8284" w:rsidR="008E12BC" w:rsidRDefault="008E12BC" w:rsidP="008E12BC">
      <w:pPr>
        <w:tabs>
          <w:tab w:val="right" w:pos="9071"/>
        </w:tabs>
        <w:rPr>
          <w:szCs w:val="24"/>
          <w:lang w:val="lv-LV"/>
        </w:rPr>
      </w:pPr>
      <w:r>
        <w:rPr>
          <w:szCs w:val="24"/>
          <w:lang w:val="lv-LV"/>
        </w:rPr>
        <w:t>(atbilst 100 µg gonadorelīna[6-D-Phe])</w:t>
      </w:r>
    </w:p>
    <w:p w14:paraId="39FD7AFB" w14:textId="77777777" w:rsidR="008E12BC" w:rsidRDefault="008E12BC" w:rsidP="008E12BC">
      <w:pPr>
        <w:pStyle w:val="ListParagraph1"/>
        <w:ind w:left="0"/>
        <w:rPr>
          <w:rFonts w:ascii="Times New Roman" w:hAnsi="Times New Roman" w:cs="Times New Roman"/>
          <w:lang w:val="lv-LV"/>
        </w:rPr>
      </w:pPr>
    </w:p>
    <w:p w14:paraId="4C63C952" w14:textId="77777777" w:rsidR="008E12BC" w:rsidRDefault="008E12BC" w:rsidP="008E12BC">
      <w:pPr>
        <w:jc w:val="both"/>
        <w:rPr>
          <w:szCs w:val="24"/>
          <w:lang w:val="lv-LV"/>
        </w:rPr>
      </w:pPr>
      <w:r>
        <w:rPr>
          <w:szCs w:val="24"/>
          <w:lang w:val="lv-LV"/>
        </w:rPr>
        <w:t>Flakona gumijas aizbāzni var droši caurdurt līdz 25 reizēm. Vai arī 20 un 50 ml flakoniem jāizmanto automātiskais šļirces aprīkojums vai piemērota ievilkšanas adata, lai izvairītos no pārmērīgas aizbāžņa caurduršanas.</w:t>
      </w:r>
    </w:p>
    <w:p w14:paraId="2B2F3C56" w14:textId="77777777" w:rsidR="008E12BC" w:rsidRDefault="008E12BC" w:rsidP="008E12BC">
      <w:pPr>
        <w:rPr>
          <w:szCs w:val="24"/>
          <w:lang w:val="lv-LV"/>
        </w:rPr>
      </w:pPr>
    </w:p>
    <w:p w14:paraId="4E2A7826" w14:textId="77777777" w:rsidR="008E12BC" w:rsidRDefault="008E12BC" w:rsidP="008E12BC">
      <w:pPr>
        <w:tabs>
          <w:tab w:val="clear" w:pos="567"/>
        </w:tabs>
        <w:spacing w:line="240" w:lineRule="auto"/>
        <w:rPr>
          <w:b/>
          <w:i/>
          <w:szCs w:val="24"/>
          <w:u w:val="single"/>
          <w:lang w:val="lv-LV"/>
        </w:rPr>
      </w:pPr>
      <w:r>
        <w:rPr>
          <w:b/>
          <w:i/>
          <w:szCs w:val="24"/>
          <w:u w:val="single"/>
          <w:lang w:val="lv-LV"/>
        </w:rPr>
        <w:t>Īpaša informācija</w:t>
      </w:r>
    </w:p>
    <w:p w14:paraId="4E501987" w14:textId="77777777" w:rsidR="008E12BC" w:rsidRDefault="008E12BC" w:rsidP="008E12BC">
      <w:pPr>
        <w:rPr>
          <w:szCs w:val="24"/>
          <w:lang w:val="lv-LV"/>
        </w:rPr>
      </w:pPr>
    </w:p>
    <w:p w14:paraId="71F03412" w14:textId="58022448" w:rsidR="008E12BC" w:rsidRDefault="008E12BC" w:rsidP="008E12BC">
      <w:pPr>
        <w:rPr>
          <w:szCs w:val="24"/>
          <w:lang w:val="lv-LV"/>
        </w:rPr>
      </w:pPr>
      <w:r>
        <w:rPr>
          <w:szCs w:val="24"/>
          <w:lang w:val="lv-LV"/>
        </w:rPr>
        <w:t>Liellopi</w:t>
      </w:r>
      <w:r w:rsidR="009779F3">
        <w:rPr>
          <w:szCs w:val="24"/>
          <w:lang w:val="lv-LV"/>
        </w:rPr>
        <w:t>em:</w:t>
      </w:r>
    </w:p>
    <w:p w14:paraId="270A8330" w14:textId="01628A9D" w:rsidR="008E12BC" w:rsidRDefault="008E12BC" w:rsidP="008E12BC">
      <w:pPr>
        <w:rPr>
          <w:szCs w:val="24"/>
          <w:lang w:val="lv-LV"/>
        </w:rPr>
      </w:pPr>
      <w:r>
        <w:rPr>
          <w:szCs w:val="24"/>
          <w:lang w:val="lv-LV"/>
        </w:rPr>
        <w:t>Meklēšanās cikla un ovulācijas sinhronizācijai un sinhronizētai mākslīgai apsēklošanai (MA) liellopiem ir izveidota tā sauktā „</w:t>
      </w:r>
      <w:r w:rsidRPr="00354FEA">
        <w:rPr>
          <w:i/>
          <w:iCs/>
          <w:szCs w:val="24"/>
          <w:lang w:val="lv-LV"/>
        </w:rPr>
        <w:t>Ovsynch</w:t>
      </w:r>
      <w:r>
        <w:rPr>
          <w:szCs w:val="24"/>
          <w:lang w:val="lv-LV"/>
        </w:rPr>
        <w:t xml:space="preserve"> procedūra”, kas sastāv no kombinētas GnRH un PGF</w:t>
      </w:r>
      <w:r>
        <w:rPr>
          <w:szCs w:val="24"/>
          <w:vertAlign w:val="subscript"/>
          <w:lang w:val="lv-LV"/>
        </w:rPr>
        <w:t>2α</w:t>
      </w:r>
      <w:r>
        <w:rPr>
          <w:szCs w:val="24"/>
          <w:lang w:val="lv-LV"/>
        </w:rPr>
        <w:t xml:space="preserve"> lietošanas. Literatūrā bieži aprakstīts sekojošs sinhronizētas MA protokols.</w:t>
      </w:r>
    </w:p>
    <w:p w14:paraId="59578A99" w14:textId="77777777" w:rsidR="008E12BC" w:rsidRDefault="008E12BC" w:rsidP="008E12BC">
      <w:pPr>
        <w:rPr>
          <w:szCs w:val="24"/>
          <w:lang w:val="lv-LV"/>
        </w:rPr>
      </w:pPr>
    </w:p>
    <w:tbl>
      <w:tblPr>
        <w:tblW w:w="0" w:type="auto"/>
        <w:tblInd w:w="-10" w:type="dxa"/>
        <w:tblLayout w:type="fixed"/>
        <w:tblLook w:val="0000" w:firstRow="0" w:lastRow="0" w:firstColumn="0" w:lastColumn="0" w:noHBand="0" w:noVBand="0"/>
      </w:tblPr>
      <w:tblGrid>
        <w:gridCol w:w="2812"/>
        <w:gridCol w:w="6420"/>
      </w:tblGrid>
      <w:tr w:rsidR="008E12BC" w:rsidRPr="00C92B17" w14:paraId="0DFCDEEB" w14:textId="77777777" w:rsidTr="00354FEA">
        <w:tc>
          <w:tcPr>
            <w:tcW w:w="2812" w:type="dxa"/>
            <w:tcBorders>
              <w:top w:val="single" w:sz="4" w:space="0" w:color="000000"/>
              <w:left w:val="single" w:sz="4" w:space="0" w:color="000000"/>
              <w:bottom w:val="single" w:sz="4" w:space="0" w:color="000000"/>
            </w:tcBorders>
            <w:shd w:val="clear" w:color="auto" w:fill="auto"/>
          </w:tcPr>
          <w:p w14:paraId="0E6CF856" w14:textId="77777777" w:rsidR="008E12BC" w:rsidRDefault="008E12BC" w:rsidP="003039E7">
            <w:pPr>
              <w:snapToGrid w:val="0"/>
              <w:rPr>
                <w:szCs w:val="24"/>
                <w:lang w:val="lv-LV"/>
              </w:rPr>
            </w:pPr>
            <w:r>
              <w:rPr>
                <w:szCs w:val="24"/>
                <w:lang w:val="lv-LV"/>
              </w:rPr>
              <w:t>0. diena</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057FAC2D" w14:textId="77777777" w:rsidR="008E12BC" w:rsidRDefault="008E12BC" w:rsidP="003039E7">
            <w:pPr>
              <w:snapToGrid w:val="0"/>
              <w:rPr>
                <w:szCs w:val="24"/>
                <w:lang w:val="lv-LV"/>
              </w:rPr>
            </w:pPr>
            <w:r>
              <w:rPr>
                <w:szCs w:val="24"/>
                <w:lang w:val="lv-LV"/>
              </w:rPr>
              <w:t>Dzīvniekam injicēt 100 µg gonadorelīna[6-D-Phe] (2 ml zāļu)</w:t>
            </w:r>
          </w:p>
        </w:tc>
      </w:tr>
      <w:tr w:rsidR="008E12BC" w:rsidRPr="00283D77" w14:paraId="0E816060" w14:textId="77777777" w:rsidTr="00354FEA">
        <w:tc>
          <w:tcPr>
            <w:tcW w:w="2812" w:type="dxa"/>
            <w:tcBorders>
              <w:top w:val="single" w:sz="4" w:space="0" w:color="000000"/>
              <w:left w:val="single" w:sz="4" w:space="0" w:color="000000"/>
              <w:bottom w:val="single" w:sz="4" w:space="0" w:color="000000"/>
            </w:tcBorders>
            <w:shd w:val="clear" w:color="auto" w:fill="auto"/>
          </w:tcPr>
          <w:p w14:paraId="39008310" w14:textId="77777777" w:rsidR="008E12BC" w:rsidRDefault="008E12BC" w:rsidP="003039E7">
            <w:pPr>
              <w:snapToGrid w:val="0"/>
              <w:rPr>
                <w:szCs w:val="24"/>
                <w:lang w:val="lv-LV"/>
              </w:rPr>
            </w:pPr>
            <w:r>
              <w:rPr>
                <w:szCs w:val="24"/>
                <w:lang w:val="lv-LV"/>
              </w:rPr>
              <w:t>7. diena</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63B0BE4C" w14:textId="77777777" w:rsidR="008E12BC" w:rsidRDefault="008E12BC" w:rsidP="003039E7">
            <w:pPr>
              <w:snapToGrid w:val="0"/>
              <w:rPr>
                <w:szCs w:val="24"/>
                <w:lang w:val="lv-LV"/>
              </w:rPr>
            </w:pPr>
            <w:r>
              <w:rPr>
                <w:szCs w:val="24"/>
                <w:lang w:val="lv-LV"/>
              </w:rPr>
              <w:t>Injicēt PGF</w:t>
            </w:r>
            <w:r>
              <w:rPr>
                <w:szCs w:val="24"/>
                <w:vertAlign w:val="subscript"/>
                <w:lang w:val="lv-LV"/>
              </w:rPr>
              <w:t>2</w:t>
            </w:r>
            <w:r>
              <w:rPr>
                <w:rFonts w:ascii="Symbol" w:hAnsi="Symbol"/>
                <w:szCs w:val="22"/>
                <w:vertAlign w:val="subscript"/>
                <w:lang w:val="lv-LV"/>
              </w:rPr>
              <w:t></w:t>
            </w:r>
            <w:r>
              <w:rPr>
                <w:szCs w:val="24"/>
                <w:lang w:val="lv-LV"/>
              </w:rPr>
              <w:t xml:space="preserve"> vai tā analogu (luteolītiska deva)</w:t>
            </w:r>
          </w:p>
        </w:tc>
      </w:tr>
      <w:tr w:rsidR="008E12BC" w:rsidRPr="00C92B17" w14:paraId="103F531E" w14:textId="77777777" w:rsidTr="00354FEA">
        <w:tc>
          <w:tcPr>
            <w:tcW w:w="2812" w:type="dxa"/>
            <w:tcBorders>
              <w:top w:val="single" w:sz="4" w:space="0" w:color="000000"/>
              <w:left w:val="single" w:sz="4" w:space="0" w:color="000000"/>
              <w:bottom w:val="single" w:sz="4" w:space="0" w:color="000000"/>
            </w:tcBorders>
            <w:shd w:val="clear" w:color="auto" w:fill="auto"/>
          </w:tcPr>
          <w:p w14:paraId="145AF288" w14:textId="77777777" w:rsidR="008E12BC" w:rsidRDefault="008E12BC" w:rsidP="003039E7">
            <w:pPr>
              <w:snapToGrid w:val="0"/>
              <w:rPr>
                <w:szCs w:val="24"/>
                <w:lang w:val="lv-LV"/>
              </w:rPr>
            </w:pPr>
            <w:r>
              <w:rPr>
                <w:szCs w:val="24"/>
                <w:lang w:val="lv-LV"/>
              </w:rPr>
              <w:t>9. diena</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001712F8" w14:textId="77777777" w:rsidR="008E12BC" w:rsidRDefault="008E12BC" w:rsidP="003039E7">
            <w:pPr>
              <w:snapToGrid w:val="0"/>
              <w:rPr>
                <w:szCs w:val="24"/>
                <w:lang w:val="lv-LV"/>
              </w:rPr>
            </w:pPr>
            <w:r>
              <w:rPr>
                <w:szCs w:val="24"/>
                <w:lang w:val="lv-LV"/>
              </w:rPr>
              <w:t>Dzīvniekam injicēt 100 µg gonadorelīna[6-D-Phe] (2 ml zāļu)</w:t>
            </w:r>
          </w:p>
        </w:tc>
      </w:tr>
      <w:tr w:rsidR="008E12BC" w:rsidRPr="00283D77" w14:paraId="6354AA82" w14:textId="77777777" w:rsidTr="00A54CFA">
        <w:tc>
          <w:tcPr>
            <w:tcW w:w="2812" w:type="dxa"/>
            <w:tcBorders>
              <w:top w:val="single" w:sz="4" w:space="0" w:color="000000"/>
              <w:left w:val="single" w:sz="4" w:space="0" w:color="000000"/>
              <w:bottom w:val="single" w:sz="4" w:space="0" w:color="000000"/>
            </w:tcBorders>
            <w:shd w:val="clear" w:color="auto" w:fill="auto"/>
          </w:tcPr>
          <w:p w14:paraId="68646104" w14:textId="77777777" w:rsidR="008E12BC" w:rsidRDefault="008E12BC" w:rsidP="003039E7">
            <w:pPr>
              <w:snapToGrid w:val="0"/>
              <w:rPr>
                <w:szCs w:val="24"/>
                <w:lang w:val="lv-LV"/>
              </w:rPr>
            </w:pPr>
            <w:r>
              <w:rPr>
                <w:szCs w:val="24"/>
                <w:lang w:val="lv-LV"/>
              </w:rPr>
              <w:t>MA</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6DEACA02" w14:textId="4DEAC0AB" w:rsidR="008E12BC" w:rsidRDefault="008E12BC" w:rsidP="003039E7">
            <w:pPr>
              <w:snapToGrid w:val="0"/>
              <w:rPr>
                <w:szCs w:val="24"/>
                <w:lang w:val="lv-LV"/>
              </w:rPr>
            </w:pPr>
            <w:r>
              <w:rPr>
                <w:szCs w:val="24"/>
                <w:lang w:val="lv-LV"/>
              </w:rPr>
              <w:t>16</w:t>
            </w:r>
            <w:r w:rsidR="00A54CFA">
              <w:rPr>
                <w:szCs w:val="24"/>
                <w:lang w:val="lv-LV"/>
              </w:rPr>
              <w:t> </w:t>
            </w:r>
            <w:r>
              <w:rPr>
                <w:szCs w:val="24"/>
                <w:lang w:val="lv-LV"/>
              </w:rPr>
              <w:noBreakHyphen/>
            </w:r>
            <w:r w:rsidR="00A54CFA">
              <w:rPr>
                <w:szCs w:val="24"/>
                <w:lang w:val="lv-LV"/>
              </w:rPr>
              <w:t> </w:t>
            </w:r>
            <w:r>
              <w:rPr>
                <w:szCs w:val="24"/>
                <w:lang w:val="lv-LV"/>
              </w:rPr>
              <w:t>20 stundas vēlāk vai novērojot meklēšanos, ja tā notikusi ātrāk</w:t>
            </w:r>
          </w:p>
        </w:tc>
      </w:tr>
    </w:tbl>
    <w:p w14:paraId="421E19C3" w14:textId="77777777" w:rsidR="008E12BC" w:rsidRDefault="008E12BC" w:rsidP="008E12BC">
      <w:pPr>
        <w:rPr>
          <w:szCs w:val="24"/>
          <w:lang w:val="lv-LV"/>
        </w:rPr>
      </w:pPr>
    </w:p>
    <w:p w14:paraId="17CF3432" w14:textId="77777777" w:rsidR="008E12BC" w:rsidRDefault="008E12BC" w:rsidP="008E12BC">
      <w:pPr>
        <w:rPr>
          <w:szCs w:val="24"/>
          <w:lang w:val="lv-LV"/>
        </w:rPr>
      </w:pPr>
      <w:r w:rsidRPr="00354FEA">
        <w:rPr>
          <w:i/>
          <w:iCs/>
          <w:szCs w:val="24"/>
          <w:lang w:val="lv-LV"/>
        </w:rPr>
        <w:lastRenderedPageBreak/>
        <w:t>Ovsynch</w:t>
      </w:r>
      <w:r>
        <w:rPr>
          <w:szCs w:val="24"/>
          <w:lang w:val="lv-LV"/>
        </w:rPr>
        <w:t xml:space="preserve"> procedūra telēm var nebūt tik efektīva kā govīm. </w:t>
      </w:r>
    </w:p>
    <w:p w14:paraId="03121A4A" w14:textId="77777777" w:rsidR="008E12BC" w:rsidRDefault="008E12BC" w:rsidP="008E12BC">
      <w:pPr>
        <w:rPr>
          <w:szCs w:val="24"/>
          <w:lang w:val="lv-LV"/>
        </w:rPr>
      </w:pPr>
    </w:p>
    <w:p w14:paraId="68873E3B" w14:textId="41EE3B3C" w:rsidR="008E12BC" w:rsidRDefault="008E12BC" w:rsidP="008E12BC">
      <w:pPr>
        <w:rPr>
          <w:szCs w:val="24"/>
          <w:lang w:val="lv-LV"/>
        </w:rPr>
      </w:pPr>
      <w:r>
        <w:rPr>
          <w:szCs w:val="24"/>
          <w:lang w:val="lv-LV"/>
        </w:rPr>
        <w:t>Cūk</w:t>
      </w:r>
      <w:r w:rsidR="009779F3">
        <w:rPr>
          <w:szCs w:val="24"/>
          <w:lang w:val="lv-LV"/>
        </w:rPr>
        <w:t>ām:</w:t>
      </w:r>
    </w:p>
    <w:p w14:paraId="276B43DD" w14:textId="77777777" w:rsidR="008E12BC" w:rsidRDefault="008E12BC" w:rsidP="008E12BC">
      <w:pPr>
        <w:jc w:val="both"/>
        <w:rPr>
          <w:szCs w:val="24"/>
          <w:lang w:val="lv-LV"/>
        </w:rPr>
      </w:pPr>
      <w:r>
        <w:rPr>
          <w:szCs w:val="24"/>
          <w:lang w:val="lv-LV"/>
        </w:rPr>
        <w:t>Ovulācijas sinhronizācijas sistēmā ietilpst peforelīna vai PMSG ievadīšana pēc meklēšanās cikla sinhronizācijas beigām ar altrenogestu jauncūkām vai pēc laktācijas beigām pieaugušām sivēnmātēm un divas sinhronizētas mākslīgās apsēklošanas. Pieaugušām sivēnmātēm grafiks ir atkarīgs no zīdīšanas perioda ilguma. Ieteicama sekojoša procedūra:</w:t>
      </w:r>
    </w:p>
    <w:p w14:paraId="59174B60" w14:textId="77777777" w:rsidR="008E12BC" w:rsidRDefault="008E12BC" w:rsidP="008E12BC">
      <w:pPr>
        <w:rPr>
          <w:szCs w:val="24"/>
          <w:lang w:val="lv-LV"/>
        </w:rPr>
      </w:pPr>
    </w:p>
    <w:tbl>
      <w:tblPr>
        <w:tblW w:w="0" w:type="auto"/>
        <w:tblInd w:w="-10" w:type="dxa"/>
        <w:tblLayout w:type="fixed"/>
        <w:tblLook w:val="0000" w:firstRow="0" w:lastRow="0" w:firstColumn="0" w:lastColumn="0" w:noHBand="0" w:noVBand="0"/>
      </w:tblPr>
      <w:tblGrid>
        <w:gridCol w:w="2093"/>
        <w:gridCol w:w="3544"/>
        <w:gridCol w:w="3595"/>
      </w:tblGrid>
      <w:tr w:rsidR="008E12BC" w14:paraId="28190E33" w14:textId="77777777" w:rsidTr="003039E7">
        <w:tc>
          <w:tcPr>
            <w:tcW w:w="2093" w:type="dxa"/>
            <w:tcBorders>
              <w:top w:val="single" w:sz="4" w:space="0" w:color="000000"/>
              <w:left w:val="single" w:sz="4" w:space="0" w:color="000000"/>
              <w:bottom w:val="single" w:sz="4" w:space="0" w:color="000000"/>
            </w:tcBorders>
            <w:shd w:val="clear" w:color="auto" w:fill="auto"/>
          </w:tcPr>
          <w:p w14:paraId="6DB396C3" w14:textId="77777777" w:rsidR="008E12BC" w:rsidRPr="000D553B" w:rsidRDefault="008E12BC" w:rsidP="003039E7">
            <w:pPr>
              <w:snapToGrid w:val="0"/>
              <w:rPr>
                <w:lang w:val="lv-LV"/>
              </w:rPr>
            </w:pPr>
          </w:p>
        </w:tc>
        <w:tc>
          <w:tcPr>
            <w:tcW w:w="3544" w:type="dxa"/>
            <w:tcBorders>
              <w:top w:val="single" w:sz="4" w:space="0" w:color="000000"/>
              <w:left w:val="single" w:sz="4" w:space="0" w:color="000000"/>
              <w:bottom w:val="single" w:sz="4" w:space="0" w:color="000000"/>
            </w:tcBorders>
            <w:shd w:val="clear" w:color="auto" w:fill="auto"/>
          </w:tcPr>
          <w:p w14:paraId="1DAB9E78" w14:textId="6B6341D7" w:rsidR="008E12BC" w:rsidRDefault="008E12BC" w:rsidP="003039E7">
            <w:pPr>
              <w:snapToGrid w:val="0"/>
              <w:rPr>
                <w:szCs w:val="24"/>
                <w:lang w:val="lv-LV"/>
              </w:rPr>
            </w:pPr>
            <w:r>
              <w:rPr>
                <w:szCs w:val="24"/>
                <w:lang w:val="lv-LV"/>
              </w:rPr>
              <w:t>Jauncūk</w:t>
            </w:r>
            <w:r w:rsidR="00A54CFA" w:rsidRPr="00A54CFA">
              <w:rPr>
                <w:szCs w:val="24"/>
                <w:lang w:val="lv-LV"/>
              </w:rPr>
              <w:t>ām</w:t>
            </w:r>
            <w:r>
              <w:rPr>
                <w:szCs w:val="24"/>
                <w:lang w:val="lv-LV"/>
              </w:rPr>
              <w:t>*</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5BEB1D29" w14:textId="42EFE100" w:rsidR="008E12BC" w:rsidRDefault="008E12BC" w:rsidP="003039E7">
            <w:pPr>
              <w:snapToGrid w:val="0"/>
              <w:rPr>
                <w:szCs w:val="24"/>
                <w:lang w:val="lv-LV"/>
              </w:rPr>
            </w:pPr>
            <w:r>
              <w:rPr>
                <w:szCs w:val="24"/>
                <w:lang w:val="lv-LV"/>
              </w:rPr>
              <w:t>Pieauguš</w:t>
            </w:r>
            <w:r w:rsidR="00A54CFA">
              <w:rPr>
                <w:szCs w:val="24"/>
                <w:lang w:val="lv-LV"/>
              </w:rPr>
              <w:t>ām</w:t>
            </w:r>
            <w:r>
              <w:rPr>
                <w:szCs w:val="24"/>
                <w:lang w:val="lv-LV"/>
              </w:rPr>
              <w:t xml:space="preserve"> sivēnmāt</w:t>
            </w:r>
            <w:r w:rsidR="00A54CFA">
              <w:rPr>
                <w:szCs w:val="24"/>
                <w:lang w:val="lv-LV"/>
              </w:rPr>
              <w:t>ēm</w:t>
            </w:r>
            <w:r>
              <w:rPr>
                <w:szCs w:val="24"/>
                <w:lang w:val="lv-LV"/>
              </w:rPr>
              <w:t>**</w:t>
            </w:r>
          </w:p>
          <w:p w14:paraId="65CA973E" w14:textId="77777777" w:rsidR="008E12BC" w:rsidRDefault="008E12BC" w:rsidP="003039E7">
            <w:pPr>
              <w:rPr>
                <w:szCs w:val="24"/>
                <w:lang w:val="lv-LV"/>
              </w:rPr>
            </w:pPr>
          </w:p>
        </w:tc>
      </w:tr>
      <w:tr w:rsidR="008E12BC" w:rsidRPr="00283D77" w14:paraId="05566995" w14:textId="77777777" w:rsidTr="003039E7">
        <w:tc>
          <w:tcPr>
            <w:tcW w:w="2093" w:type="dxa"/>
            <w:tcBorders>
              <w:top w:val="single" w:sz="4" w:space="0" w:color="000000"/>
              <w:left w:val="single" w:sz="4" w:space="0" w:color="000000"/>
              <w:bottom w:val="single" w:sz="4" w:space="0" w:color="000000"/>
            </w:tcBorders>
            <w:shd w:val="clear" w:color="auto" w:fill="auto"/>
          </w:tcPr>
          <w:p w14:paraId="64428AD9" w14:textId="0797A78D" w:rsidR="008E12BC" w:rsidRDefault="008E12BC" w:rsidP="003039E7">
            <w:pPr>
              <w:snapToGrid w:val="0"/>
              <w:rPr>
                <w:szCs w:val="24"/>
                <w:lang w:val="lv-LV"/>
              </w:rPr>
            </w:pPr>
            <w:r>
              <w:rPr>
                <w:szCs w:val="24"/>
                <w:lang w:val="lv-LV"/>
              </w:rPr>
              <w:t xml:space="preserve">Meklēšanās </w:t>
            </w:r>
            <w:r w:rsidR="009779F3">
              <w:rPr>
                <w:szCs w:val="24"/>
                <w:lang w:val="lv-LV"/>
              </w:rPr>
              <w:t>ierosināšanai</w:t>
            </w:r>
          </w:p>
        </w:tc>
        <w:tc>
          <w:tcPr>
            <w:tcW w:w="3544" w:type="dxa"/>
            <w:tcBorders>
              <w:top w:val="single" w:sz="4" w:space="0" w:color="000000"/>
              <w:left w:val="single" w:sz="4" w:space="0" w:color="000000"/>
              <w:bottom w:val="single" w:sz="4" w:space="0" w:color="000000"/>
            </w:tcBorders>
            <w:shd w:val="clear" w:color="auto" w:fill="auto"/>
          </w:tcPr>
          <w:p w14:paraId="67D59C3E" w14:textId="01EB49C0" w:rsidR="008E12BC" w:rsidRDefault="008E12BC" w:rsidP="003039E7">
            <w:pPr>
              <w:snapToGrid w:val="0"/>
              <w:rPr>
                <w:szCs w:val="24"/>
                <w:lang w:val="lv-LV"/>
              </w:rPr>
            </w:pPr>
            <w:r>
              <w:rPr>
                <w:b/>
                <w:szCs w:val="24"/>
                <w:lang w:val="lv-LV"/>
              </w:rPr>
              <w:t>Peforelīns</w:t>
            </w:r>
            <w:r>
              <w:rPr>
                <w:szCs w:val="24"/>
                <w:lang w:val="lv-LV"/>
              </w:rPr>
              <w:t xml:space="preserve"> 48 h vai </w:t>
            </w:r>
            <w:r>
              <w:rPr>
                <w:b/>
                <w:szCs w:val="24"/>
                <w:lang w:val="lv-LV"/>
              </w:rPr>
              <w:t>PMSG (eCG)</w:t>
            </w:r>
            <w:r>
              <w:rPr>
                <w:szCs w:val="24"/>
                <w:lang w:val="lv-LV"/>
              </w:rPr>
              <w:t xml:space="preserve"> 24 h</w:t>
            </w:r>
            <w:r w:rsidR="009779F3">
              <w:rPr>
                <w:szCs w:val="24"/>
                <w:lang w:val="lv-LV"/>
              </w:rPr>
              <w:t> </w:t>
            </w:r>
            <w:r>
              <w:rPr>
                <w:szCs w:val="24"/>
                <w:lang w:val="lv-LV"/>
              </w:rPr>
              <w:noBreakHyphen/>
            </w:r>
            <w:r w:rsidR="009779F3">
              <w:rPr>
                <w:szCs w:val="24"/>
                <w:lang w:val="lv-LV"/>
              </w:rPr>
              <w:t> </w:t>
            </w:r>
            <w:r>
              <w:rPr>
                <w:szCs w:val="24"/>
                <w:lang w:val="lv-LV"/>
              </w:rPr>
              <w:t>48 h pēc pēdējās altrenogesta lietošanas</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08D7E891" w14:textId="77777777" w:rsidR="008E12BC" w:rsidRDefault="008E12BC" w:rsidP="003039E7">
            <w:pPr>
              <w:snapToGrid w:val="0"/>
              <w:rPr>
                <w:szCs w:val="24"/>
                <w:lang w:val="lv-LV"/>
              </w:rPr>
            </w:pPr>
            <w:r>
              <w:rPr>
                <w:b/>
                <w:szCs w:val="24"/>
                <w:lang w:val="lv-LV"/>
              </w:rPr>
              <w:t>Peforelīna</w:t>
            </w:r>
            <w:r>
              <w:rPr>
                <w:szCs w:val="24"/>
                <w:lang w:val="lv-LV"/>
              </w:rPr>
              <w:t xml:space="preserve"> vai </w:t>
            </w:r>
            <w:r>
              <w:rPr>
                <w:b/>
                <w:szCs w:val="24"/>
                <w:lang w:val="lv-LV"/>
              </w:rPr>
              <w:t>PMSG</w:t>
            </w:r>
            <w:r>
              <w:rPr>
                <w:szCs w:val="24"/>
                <w:lang w:val="lv-LV"/>
              </w:rPr>
              <w:t xml:space="preserve"> lietošana 24 stundas pēc zīdīšanas </w:t>
            </w:r>
          </w:p>
          <w:p w14:paraId="5E01C7AF" w14:textId="77777777" w:rsidR="008E12BC" w:rsidRDefault="008E12BC" w:rsidP="003039E7">
            <w:pPr>
              <w:rPr>
                <w:szCs w:val="24"/>
                <w:lang w:val="lv-LV"/>
              </w:rPr>
            </w:pPr>
          </w:p>
        </w:tc>
      </w:tr>
      <w:tr w:rsidR="008E12BC" w:rsidRPr="00283D77" w14:paraId="0BB81F71" w14:textId="77777777" w:rsidTr="003039E7">
        <w:tc>
          <w:tcPr>
            <w:tcW w:w="2093" w:type="dxa"/>
            <w:tcBorders>
              <w:top w:val="single" w:sz="4" w:space="0" w:color="000000"/>
              <w:left w:val="single" w:sz="4" w:space="0" w:color="000000"/>
              <w:bottom w:val="single" w:sz="4" w:space="0" w:color="000000"/>
            </w:tcBorders>
            <w:shd w:val="clear" w:color="auto" w:fill="auto"/>
          </w:tcPr>
          <w:p w14:paraId="5F1D26E9" w14:textId="77777777" w:rsidR="008E12BC" w:rsidRDefault="008E12BC" w:rsidP="003039E7">
            <w:pPr>
              <w:snapToGrid w:val="0"/>
              <w:rPr>
                <w:szCs w:val="24"/>
                <w:lang w:val="lv-LV"/>
              </w:rPr>
            </w:pPr>
            <w:r>
              <w:rPr>
                <w:szCs w:val="24"/>
                <w:lang w:val="lv-LV"/>
              </w:rPr>
              <w:t>Ovulācijas sinhronizācija</w:t>
            </w:r>
          </w:p>
        </w:tc>
        <w:tc>
          <w:tcPr>
            <w:tcW w:w="3544" w:type="dxa"/>
            <w:tcBorders>
              <w:top w:val="single" w:sz="4" w:space="0" w:color="000000"/>
              <w:left w:val="single" w:sz="4" w:space="0" w:color="000000"/>
              <w:bottom w:val="single" w:sz="4" w:space="0" w:color="000000"/>
            </w:tcBorders>
            <w:shd w:val="clear" w:color="auto" w:fill="auto"/>
          </w:tcPr>
          <w:p w14:paraId="7C6A91CE" w14:textId="6755B430" w:rsidR="008E12BC" w:rsidRDefault="008E12BC" w:rsidP="003039E7">
            <w:pPr>
              <w:snapToGrid w:val="0"/>
              <w:rPr>
                <w:szCs w:val="24"/>
                <w:lang w:val="lv-LV"/>
              </w:rPr>
            </w:pPr>
            <w:r>
              <w:rPr>
                <w:b/>
                <w:szCs w:val="24"/>
                <w:lang w:val="lv-LV"/>
              </w:rPr>
              <w:t>Gonadorelīns[6-D-Phe]</w:t>
            </w:r>
            <w:r>
              <w:rPr>
                <w:szCs w:val="24"/>
                <w:lang w:val="lv-LV"/>
              </w:rPr>
              <w:t xml:space="preserve"> 78</w:t>
            </w:r>
            <w:r w:rsidR="00A54CFA">
              <w:rPr>
                <w:szCs w:val="24"/>
                <w:lang w:val="lv-LV"/>
              </w:rPr>
              <w:t> </w:t>
            </w:r>
            <w:r>
              <w:rPr>
                <w:szCs w:val="24"/>
                <w:lang w:val="lv-LV"/>
              </w:rPr>
              <w:noBreakHyphen/>
            </w:r>
            <w:r w:rsidR="00A54CFA">
              <w:rPr>
                <w:szCs w:val="24"/>
                <w:lang w:val="lv-LV"/>
              </w:rPr>
              <w:t> </w:t>
            </w:r>
            <w:r>
              <w:rPr>
                <w:szCs w:val="24"/>
                <w:lang w:val="lv-LV"/>
              </w:rPr>
              <w:t>80 h pēc peforelīna vai PMSG lietošanas</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1F6891E3" w14:textId="77777777" w:rsidR="008E12BC" w:rsidRDefault="008E12BC" w:rsidP="003039E7">
            <w:pPr>
              <w:snapToGrid w:val="0"/>
              <w:rPr>
                <w:i/>
                <w:szCs w:val="24"/>
                <w:lang w:val="lv-LV"/>
              </w:rPr>
            </w:pPr>
            <w:r>
              <w:rPr>
                <w:i/>
                <w:szCs w:val="24"/>
                <w:lang w:val="lv-LV"/>
              </w:rPr>
              <w:t>Zīdīšanas periods &gt; 4 nedēļas:</w:t>
            </w:r>
          </w:p>
          <w:p w14:paraId="09B1634C" w14:textId="057F67DE" w:rsidR="008E12BC" w:rsidRDefault="008E12BC" w:rsidP="003039E7">
            <w:pPr>
              <w:rPr>
                <w:szCs w:val="24"/>
                <w:lang w:val="lv-LV"/>
              </w:rPr>
            </w:pPr>
            <w:r>
              <w:rPr>
                <w:b/>
                <w:szCs w:val="24"/>
                <w:lang w:val="lv-LV"/>
              </w:rPr>
              <w:t>gonadorelīns[6-D-Phe]</w:t>
            </w:r>
            <w:r>
              <w:rPr>
                <w:szCs w:val="24"/>
                <w:lang w:val="lv-LV"/>
              </w:rPr>
              <w:t xml:space="preserve"> 56</w:t>
            </w:r>
            <w:r w:rsidR="009779F3">
              <w:rPr>
                <w:szCs w:val="24"/>
                <w:lang w:val="lv-LV"/>
              </w:rPr>
              <w:t> </w:t>
            </w:r>
            <w:r>
              <w:rPr>
                <w:szCs w:val="24"/>
                <w:lang w:val="lv-LV"/>
              </w:rPr>
              <w:noBreakHyphen/>
            </w:r>
            <w:r w:rsidR="009779F3">
              <w:rPr>
                <w:szCs w:val="24"/>
                <w:lang w:val="lv-LV"/>
              </w:rPr>
              <w:t> </w:t>
            </w:r>
            <w:r>
              <w:rPr>
                <w:szCs w:val="24"/>
                <w:lang w:val="lv-LV"/>
              </w:rPr>
              <w:t>58 h pēc peforelīna vai PMSG lietošanas</w:t>
            </w:r>
          </w:p>
          <w:p w14:paraId="753B0611" w14:textId="77777777" w:rsidR="008E12BC" w:rsidRDefault="008E12BC" w:rsidP="003039E7">
            <w:pPr>
              <w:rPr>
                <w:szCs w:val="24"/>
                <w:lang w:val="lv-LV"/>
              </w:rPr>
            </w:pPr>
          </w:p>
          <w:p w14:paraId="7464A180" w14:textId="77777777" w:rsidR="008E12BC" w:rsidRDefault="008E12BC" w:rsidP="003039E7">
            <w:pPr>
              <w:rPr>
                <w:i/>
                <w:szCs w:val="24"/>
                <w:lang w:val="lv-LV"/>
              </w:rPr>
            </w:pPr>
            <w:r>
              <w:rPr>
                <w:i/>
                <w:szCs w:val="24"/>
                <w:lang w:val="lv-LV"/>
              </w:rPr>
              <w:t>Zīdīšanas periods 4 nedēļas:</w:t>
            </w:r>
          </w:p>
          <w:p w14:paraId="539497EC" w14:textId="77777777" w:rsidR="008E12BC" w:rsidRDefault="008E12BC" w:rsidP="003039E7">
            <w:pPr>
              <w:rPr>
                <w:szCs w:val="24"/>
                <w:lang w:val="lv-LV"/>
              </w:rPr>
            </w:pPr>
            <w:r>
              <w:rPr>
                <w:b/>
                <w:szCs w:val="24"/>
                <w:lang w:val="lv-LV"/>
              </w:rPr>
              <w:t>gonadorelīns[6-D-Phe]</w:t>
            </w:r>
            <w:r>
              <w:rPr>
                <w:szCs w:val="24"/>
                <w:lang w:val="lv-LV"/>
              </w:rPr>
              <w:t xml:space="preserve"> 72 h pēc peforelīna vai PMSG lietošanas</w:t>
            </w:r>
          </w:p>
          <w:p w14:paraId="06950C49" w14:textId="77777777" w:rsidR="008E12BC" w:rsidRDefault="008E12BC" w:rsidP="003039E7">
            <w:pPr>
              <w:rPr>
                <w:szCs w:val="24"/>
                <w:lang w:val="lv-LV"/>
              </w:rPr>
            </w:pPr>
          </w:p>
          <w:p w14:paraId="1F04EDF1" w14:textId="77777777" w:rsidR="008E12BC" w:rsidRDefault="008E12BC" w:rsidP="003039E7">
            <w:pPr>
              <w:rPr>
                <w:i/>
                <w:szCs w:val="24"/>
                <w:lang w:val="lv-LV"/>
              </w:rPr>
            </w:pPr>
            <w:r>
              <w:rPr>
                <w:i/>
                <w:szCs w:val="24"/>
                <w:lang w:val="lv-LV"/>
              </w:rPr>
              <w:t>Zīdīšanas periods 3 nedēļas:</w:t>
            </w:r>
          </w:p>
          <w:p w14:paraId="1B28EA7B" w14:textId="0670F6C2" w:rsidR="008E12BC" w:rsidRDefault="008E12BC" w:rsidP="003039E7">
            <w:pPr>
              <w:rPr>
                <w:szCs w:val="24"/>
                <w:lang w:val="lv-LV"/>
              </w:rPr>
            </w:pPr>
            <w:r>
              <w:rPr>
                <w:b/>
                <w:szCs w:val="24"/>
                <w:lang w:val="lv-LV"/>
              </w:rPr>
              <w:t>gonadorelīns[6-D-Phe]</w:t>
            </w:r>
            <w:r>
              <w:rPr>
                <w:szCs w:val="24"/>
                <w:lang w:val="lv-LV"/>
              </w:rPr>
              <w:t xml:space="preserve"> 78</w:t>
            </w:r>
            <w:r w:rsidR="009779F3">
              <w:rPr>
                <w:szCs w:val="24"/>
                <w:lang w:val="lv-LV"/>
              </w:rPr>
              <w:t> </w:t>
            </w:r>
            <w:r>
              <w:rPr>
                <w:szCs w:val="24"/>
                <w:lang w:val="lv-LV"/>
              </w:rPr>
              <w:noBreakHyphen/>
            </w:r>
            <w:r w:rsidR="009779F3">
              <w:rPr>
                <w:szCs w:val="24"/>
                <w:lang w:val="lv-LV"/>
              </w:rPr>
              <w:t> </w:t>
            </w:r>
            <w:r>
              <w:rPr>
                <w:szCs w:val="24"/>
                <w:lang w:val="lv-LV"/>
              </w:rPr>
              <w:t>80 h pēc peforelīna vai PMSG lietošanas</w:t>
            </w:r>
          </w:p>
        </w:tc>
      </w:tr>
      <w:tr w:rsidR="008E12BC" w14:paraId="184152ED" w14:textId="77777777" w:rsidTr="003039E7">
        <w:tc>
          <w:tcPr>
            <w:tcW w:w="2093" w:type="dxa"/>
            <w:tcBorders>
              <w:top w:val="single" w:sz="4" w:space="0" w:color="000000"/>
              <w:left w:val="single" w:sz="4" w:space="0" w:color="000000"/>
              <w:bottom w:val="single" w:sz="4" w:space="0" w:color="000000"/>
            </w:tcBorders>
            <w:shd w:val="clear" w:color="auto" w:fill="auto"/>
          </w:tcPr>
          <w:p w14:paraId="319AF2B7" w14:textId="77777777" w:rsidR="008E12BC" w:rsidRDefault="008E12BC" w:rsidP="003039E7">
            <w:pPr>
              <w:snapToGrid w:val="0"/>
              <w:rPr>
                <w:szCs w:val="24"/>
                <w:lang w:val="lv-LV"/>
              </w:rPr>
            </w:pPr>
            <w:r>
              <w:rPr>
                <w:szCs w:val="24"/>
                <w:lang w:val="lv-LV"/>
              </w:rPr>
              <w:t>1. MA</w:t>
            </w:r>
          </w:p>
        </w:tc>
        <w:tc>
          <w:tcPr>
            <w:tcW w:w="3544" w:type="dxa"/>
            <w:tcBorders>
              <w:top w:val="single" w:sz="4" w:space="0" w:color="000000"/>
              <w:left w:val="single" w:sz="4" w:space="0" w:color="000000"/>
              <w:bottom w:val="single" w:sz="4" w:space="0" w:color="000000"/>
            </w:tcBorders>
            <w:shd w:val="clear" w:color="auto" w:fill="auto"/>
          </w:tcPr>
          <w:p w14:paraId="205E26F5" w14:textId="51082E5C" w:rsidR="008E12BC" w:rsidRDefault="008E12BC" w:rsidP="003039E7">
            <w:pPr>
              <w:snapToGrid w:val="0"/>
              <w:rPr>
                <w:szCs w:val="24"/>
                <w:lang w:val="lv-LV"/>
              </w:rPr>
            </w:pPr>
            <w:r>
              <w:rPr>
                <w:szCs w:val="24"/>
                <w:lang w:val="lv-LV"/>
              </w:rPr>
              <w:t>24</w:t>
            </w:r>
            <w:r w:rsidR="009779F3">
              <w:rPr>
                <w:szCs w:val="24"/>
                <w:lang w:val="lv-LV"/>
              </w:rPr>
              <w:t> </w:t>
            </w:r>
            <w:r>
              <w:rPr>
                <w:szCs w:val="24"/>
                <w:lang w:val="lv-LV"/>
              </w:rPr>
              <w:noBreakHyphen/>
            </w:r>
            <w:r w:rsidR="009779F3">
              <w:rPr>
                <w:szCs w:val="24"/>
                <w:lang w:val="lv-LV"/>
              </w:rPr>
              <w:t> </w:t>
            </w:r>
            <w:r>
              <w:rPr>
                <w:szCs w:val="24"/>
                <w:lang w:val="lv-LV"/>
              </w:rPr>
              <w:t>26 h pēc gonadorelīna[6-D-Phe] lietošanas</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57093BA0" w14:textId="2B163760" w:rsidR="008E12BC" w:rsidRDefault="008E12BC" w:rsidP="003039E7">
            <w:pPr>
              <w:snapToGrid w:val="0"/>
              <w:rPr>
                <w:szCs w:val="24"/>
                <w:lang w:val="lv-LV"/>
              </w:rPr>
            </w:pPr>
            <w:r>
              <w:rPr>
                <w:szCs w:val="24"/>
                <w:lang w:val="lv-LV"/>
              </w:rPr>
              <w:t>24</w:t>
            </w:r>
            <w:r w:rsidR="009779F3">
              <w:rPr>
                <w:szCs w:val="24"/>
                <w:lang w:val="lv-LV"/>
              </w:rPr>
              <w:t> </w:t>
            </w:r>
            <w:r>
              <w:rPr>
                <w:szCs w:val="24"/>
                <w:lang w:val="lv-LV"/>
              </w:rPr>
              <w:noBreakHyphen/>
            </w:r>
            <w:r w:rsidR="009779F3">
              <w:rPr>
                <w:szCs w:val="24"/>
                <w:lang w:val="lv-LV"/>
              </w:rPr>
              <w:t> </w:t>
            </w:r>
            <w:r>
              <w:rPr>
                <w:szCs w:val="24"/>
                <w:lang w:val="lv-LV"/>
              </w:rPr>
              <w:t>26 h pēc gonadorelīna[6-D-Phe] lietošanas</w:t>
            </w:r>
          </w:p>
        </w:tc>
      </w:tr>
      <w:tr w:rsidR="008E12BC" w14:paraId="35C08CF2" w14:textId="77777777" w:rsidTr="003039E7">
        <w:tc>
          <w:tcPr>
            <w:tcW w:w="2093" w:type="dxa"/>
            <w:tcBorders>
              <w:top w:val="single" w:sz="4" w:space="0" w:color="000000"/>
              <w:left w:val="single" w:sz="4" w:space="0" w:color="000000"/>
              <w:bottom w:val="single" w:sz="4" w:space="0" w:color="000000"/>
            </w:tcBorders>
            <w:shd w:val="clear" w:color="auto" w:fill="auto"/>
          </w:tcPr>
          <w:p w14:paraId="1D1713DC" w14:textId="77777777" w:rsidR="008E12BC" w:rsidRDefault="008E12BC" w:rsidP="003039E7">
            <w:pPr>
              <w:snapToGrid w:val="0"/>
              <w:rPr>
                <w:szCs w:val="24"/>
                <w:lang w:val="lv-LV"/>
              </w:rPr>
            </w:pPr>
            <w:r>
              <w:rPr>
                <w:szCs w:val="24"/>
                <w:lang w:val="lv-LV"/>
              </w:rPr>
              <w:t>2. MA</w:t>
            </w:r>
          </w:p>
        </w:tc>
        <w:tc>
          <w:tcPr>
            <w:tcW w:w="3544" w:type="dxa"/>
            <w:tcBorders>
              <w:top w:val="single" w:sz="4" w:space="0" w:color="000000"/>
              <w:left w:val="single" w:sz="4" w:space="0" w:color="000000"/>
              <w:bottom w:val="single" w:sz="4" w:space="0" w:color="000000"/>
            </w:tcBorders>
            <w:shd w:val="clear" w:color="auto" w:fill="auto"/>
          </w:tcPr>
          <w:p w14:paraId="19619685" w14:textId="6737E464" w:rsidR="008E12BC" w:rsidRDefault="008E12BC" w:rsidP="003039E7">
            <w:pPr>
              <w:snapToGrid w:val="0"/>
              <w:rPr>
                <w:szCs w:val="24"/>
                <w:lang w:val="lv-LV"/>
              </w:rPr>
            </w:pPr>
            <w:r>
              <w:rPr>
                <w:szCs w:val="24"/>
                <w:lang w:val="lv-LV"/>
              </w:rPr>
              <w:t>40</w:t>
            </w:r>
            <w:r w:rsidR="009779F3">
              <w:rPr>
                <w:szCs w:val="24"/>
                <w:lang w:val="lv-LV"/>
              </w:rPr>
              <w:t> </w:t>
            </w:r>
            <w:r>
              <w:rPr>
                <w:szCs w:val="24"/>
                <w:lang w:val="lv-LV"/>
              </w:rPr>
              <w:noBreakHyphen/>
            </w:r>
            <w:r w:rsidR="009779F3">
              <w:rPr>
                <w:szCs w:val="24"/>
                <w:lang w:val="lv-LV"/>
              </w:rPr>
              <w:t> </w:t>
            </w:r>
            <w:r>
              <w:rPr>
                <w:szCs w:val="24"/>
                <w:lang w:val="lv-LV"/>
              </w:rPr>
              <w:t>42 h pēc gonadorelīna[6-D-Phe] lietošanas</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4FD83D9D" w14:textId="3F6C4268" w:rsidR="008E12BC" w:rsidRDefault="008E12BC" w:rsidP="003039E7">
            <w:pPr>
              <w:keepNext/>
              <w:snapToGrid w:val="0"/>
              <w:rPr>
                <w:szCs w:val="24"/>
                <w:lang w:val="lv-LV"/>
              </w:rPr>
            </w:pPr>
            <w:r>
              <w:rPr>
                <w:szCs w:val="24"/>
                <w:lang w:val="lv-LV"/>
              </w:rPr>
              <w:t>40</w:t>
            </w:r>
            <w:r w:rsidR="009779F3">
              <w:rPr>
                <w:szCs w:val="24"/>
                <w:lang w:val="lv-LV"/>
              </w:rPr>
              <w:t> </w:t>
            </w:r>
            <w:r>
              <w:rPr>
                <w:szCs w:val="24"/>
                <w:lang w:val="lv-LV"/>
              </w:rPr>
              <w:noBreakHyphen/>
            </w:r>
            <w:r w:rsidR="009779F3">
              <w:rPr>
                <w:szCs w:val="24"/>
                <w:lang w:val="lv-LV"/>
              </w:rPr>
              <w:t> </w:t>
            </w:r>
            <w:r>
              <w:rPr>
                <w:szCs w:val="24"/>
                <w:lang w:val="lv-LV"/>
              </w:rPr>
              <w:t>42 h pēc gonadorelīna[6-D-Phe] lietošanas</w:t>
            </w:r>
          </w:p>
        </w:tc>
      </w:tr>
    </w:tbl>
    <w:p w14:paraId="36EC02BF" w14:textId="02F5F44E" w:rsidR="008E12BC" w:rsidRDefault="008E12BC" w:rsidP="008E12BC">
      <w:pPr>
        <w:rPr>
          <w:szCs w:val="24"/>
          <w:lang w:val="lv-LV"/>
        </w:rPr>
      </w:pPr>
      <w:r>
        <w:rPr>
          <w:szCs w:val="24"/>
          <w:lang w:val="lv-LV"/>
        </w:rPr>
        <w:t>* Ieteicamā Gonavet Veyx deva jauncūkām ir 50 µg gonadorelīna[6-D-Phe]. Tomēr devu var pielāgot 50</w:t>
      </w:r>
      <w:r w:rsidR="009779F3">
        <w:rPr>
          <w:szCs w:val="24"/>
          <w:lang w:val="lv-LV"/>
        </w:rPr>
        <w:t> </w:t>
      </w:r>
      <w:r>
        <w:rPr>
          <w:szCs w:val="24"/>
          <w:lang w:val="lv-LV"/>
        </w:rPr>
        <w:noBreakHyphen/>
      </w:r>
      <w:r w:rsidR="009779F3">
        <w:rPr>
          <w:szCs w:val="24"/>
          <w:lang w:val="lv-LV"/>
        </w:rPr>
        <w:t> </w:t>
      </w:r>
      <w:r>
        <w:rPr>
          <w:szCs w:val="24"/>
          <w:lang w:val="lv-LV"/>
        </w:rPr>
        <w:t xml:space="preserve">75 µg diapazonā, ņemot vērā saimniecībai specifiskos aspektus vai sezonālās īpatnības. Stingri jāievēro </w:t>
      </w:r>
      <w:r w:rsidR="009779F3">
        <w:rPr>
          <w:szCs w:val="24"/>
          <w:lang w:val="lv-LV"/>
        </w:rPr>
        <w:t xml:space="preserve">noteiktais </w:t>
      </w:r>
      <w:r>
        <w:rPr>
          <w:szCs w:val="24"/>
          <w:lang w:val="lv-LV"/>
        </w:rPr>
        <w:t>grafik</w:t>
      </w:r>
      <w:r w:rsidR="009779F3">
        <w:rPr>
          <w:szCs w:val="24"/>
          <w:lang w:val="lv-LV"/>
        </w:rPr>
        <w:t>s</w:t>
      </w:r>
      <w:r>
        <w:rPr>
          <w:szCs w:val="24"/>
          <w:lang w:val="lv-LV"/>
        </w:rPr>
        <w:t>.</w:t>
      </w:r>
    </w:p>
    <w:p w14:paraId="17322345" w14:textId="05429084" w:rsidR="008E12BC" w:rsidRDefault="008E12BC" w:rsidP="008E12BC">
      <w:pPr>
        <w:rPr>
          <w:i/>
          <w:szCs w:val="24"/>
          <w:lang w:val="lv-LV"/>
        </w:rPr>
      </w:pPr>
      <w:r>
        <w:rPr>
          <w:szCs w:val="24"/>
          <w:lang w:val="lv-LV"/>
        </w:rPr>
        <w:t xml:space="preserve">** Ieteicamā Gonavet Veyx deva pieaugušām sivēnmātēm ir 50 µg gonadorelīna[6-D-Phe]. Tomēr sivēnmātēm, kuras </w:t>
      </w:r>
      <w:r w:rsidR="009779F3">
        <w:rPr>
          <w:szCs w:val="24"/>
          <w:lang w:val="lv-LV"/>
        </w:rPr>
        <w:t xml:space="preserve">dzemdējušas </w:t>
      </w:r>
      <w:r>
        <w:rPr>
          <w:szCs w:val="24"/>
          <w:lang w:val="lv-LV"/>
        </w:rPr>
        <w:t xml:space="preserve">vairāk nekā 3 reizes, vai pārošanās perioda laikā no septembra līdz maijam pietiekama ir arī 25 µg deva. Stingri jāievēro </w:t>
      </w:r>
      <w:r w:rsidR="009779F3">
        <w:rPr>
          <w:szCs w:val="24"/>
          <w:lang w:val="lv-LV"/>
        </w:rPr>
        <w:t xml:space="preserve">noteiktais </w:t>
      </w:r>
      <w:r>
        <w:rPr>
          <w:szCs w:val="24"/>
          <w:lang w:val="lv-LV"/>
        </w:rPr>
        <w:t>grafiks.</w:t>
      </w:r>
    </w:p>
    <w:p w14:paraId="797FC549" w14:textId="5B4D74B2" w:rsidR="008E12BC" w:rsidRDefault="008E12BC" w:rsidP="008E12BC">
      <w:pPr>
        <w:tabs>
          <w:tab w:val="clear" w:pos="567"/>
        </w:tabs>
        <w:spacing w:line="240" w:lineRule="auto"/>
        <w:rPr>
          <w:i/>
          <w:szCs w:val="24"/>
          <w:lang w:val="lv-LV"/>
        </w:rPr>
      </w:pPr>
    </w:p>
    <w:p w14:paraId="4582B405" w14:textId="77777777" w:rsidR="008449A7" w:rsidRDefault="008449A7" w:rsidP="008E12BC">
      <w:pPr>
        <w:tabs>
          <w:tab w:val="clear" w:pos="567"/>
        </w:tabs>
        <w:spacing w:line="240" w:lineRule="auto"/>
        <w:rPr>
          <w:i/>
          <w:szCs w:val="24"/>
          <w:lang w:val="lv-LV"/>
        </w:rPr>
      </w:pPr>
    </w:p>
    <w:p w14:paraId="35C07CB4"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9.</w:t>
      </w:r>
      <w:r>
        <w:rPr>
          <w:b/>
          <w:szCs w:val="24"/>
          <w:lang w:val="lv-LV"/>
        </w:rPr>
        <w:tab/>
        <w:t>IETEIKUMI PAREIZAI LIETOŠANAI</w:t>
      </w:r>
    </w:p>
    <w:p w14:paraId="347CD08B" w14:textId="77777777" w:rsidR="008E12BC" w:rsidRDefault="008E12BC" w:rsidP="008E12BC">
      <w:pPr>
        <w:tabs>
          <w:tab w:val="clear" w:pos="567"/>
        </w:tabs>
        <w:spacing w:line="240" w:lineRule="auto"/>
        <w:rPr>
          <w:szCs w:val="24"/>
          <w:lang w:val="lv-LV"/>
        </w:rPr>
      </w:pPr>
    </w:p>
    <w:p w14:paraId="33594574" w14:textId="77777777" w:rsidR="008E12BC" w:rsidRDefault="008E12BC" w:rsidP="008E12BC">
      <w:pPr>
        <w:tabs>
          <w:tab w:val="clear" w:pos="567"/>
        </w:tabs>
        <w:spacing w:line="240" w:lineRule="auto"/>
        <w:rPr>
          <w:szCs w:val="24"/>
          <w:lang w:val="lv-LV"/>
        </w:rPr>
      </w:pPr>
      <w:r>
        <w:rPr>
          <w:szCs w:val="24"/>
          <w:lang w:val="lv-LV"/>
        </w:rPr>
        <w:t>Nav</w:t>
      </w:r>
      <w:r w:rsidR="00B47A0C">
        <w:rPr>
          <w:szCs w:val="24"/>
          <w:lang w:val="lv-LV"/>
        </w:rPr>
        <w:t>.</w:t>
      </w:r>
    </w:p>
    <w:p w14:paraId="02CA4EA2" w14:textId="563FB8B8" w:rsidR="008E12BC" w:rsidRDefault="008E12BC" w:rsidP="008E12BC">
      <w:pPr>
        <w:tabs>
          <w:tab w:val="clear" w:pos="567"/>
        </w:tabs>
        <w:spacing w:line="240" w:lineRule="auto"/>
        <w:rPr>
          <w:szCs w:val="24"/>
          <w:lang w:val="lv-LV"/>
        </w:rPr>
      </w:pPr>
    </w:p>
    <w:p w14:paraId="659E450E" w14:textId="77777777" w:rsidR="00354FEA" w:rsidRDefault="00354FEA" w:rsidP="008E12BC">
      <w:pPr>
        <w:tabs>
          <w:tab w:val="clear" w:pos="567"/>
        </w:tabs>
        <w:spacing w:line="240" w:lineRule="auto"/>
        <w:rPr>
          <w:szCs w:val="24"/>
          <w:lang w:val="lv-LV"/>
        </w:rPr>
      </w:pPr>
    </w:p>
    <w:p w14:paraId="26374803"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10.</w:t>
      </w:r>
      <w:r>
        <w:rPr>
          <w:b/>
          <w:szCs w:val="24"/>
          <w:lang w:val="lv-LV"/>
        </w:rPr>
        <w:tab/>
        <w:t>IEROBEŽOJUMU PERIODS(-I) DZĪVNIEKU PRODUKCIJAS IZMANTOŠANĀ</w:t>
      </w:r>
    </w:p>
    <w:p w14:paraId="31D2668C" w14:textId="1ED7E614" w:rsidR="008E12BC" w:rsidRDefault="008E12BC" w:rsidP="008449A7">
      <w:pPr>
        <w:tabs>
          <w:tab w:val="left" w:pos="2410"/>
          <w:tab w:val="left" w:pos="3686"/>
          <w:tab w:val="left" w:pos="5096"/>
        </w:tabs>
        <w:spacing w:before="120"/>
        <w:rPr>
          <w:szCs w:val="24"/>
          <w:lang w:val="lv-LV"/>
        </w:rPr>
      </w:pPr>
      <w:r>
        <w:rPr>
          <w:szCs w:val="24"/>
          <w:lang w:val="lv-LV"/>
        </w:rPr>
        <w:t>Liellopi</w:t>
      </w:r>
      <w:r w:rsidR="008449A7">
        <w:rPr>
          <w:szCs w:val="24"/>
          <w:lang w:val="lv-LV"/>
        </w:rPr>
        <w:t>em</w:t>
      </w:r>
      <w:r>
        <w:rPr>
          <w:szCs w:val="24"/>
          <w:lang w:val="lv-LV"/>
        </w:rPr>
        <w:t>, cūk</w:t>
      </w:r>
      <w:r w:rsidR="008449A7">
        <w:rPr>
          <w:szCs w:val="24"/>
          <w:lang w:val="lv-LV"/>
        </w:rPr>
        <w:t>ām</w:t>
      </w:r>
      <w:r>
        <w:rPr>
          <w:szCs w:val="24"/>
          <w:lang w:val="lv-LV"/>
        </w:rPr>
        <w:t>, zirgi</w:t>
      </w:r>
      <w:r w:rsidR="008449A7">
        <w:rPr>
          <w:szCs w:val="24"/>
          <w:lang w:val="lv-LV"/>
        </w:rPr>
        <w:t>em</w:t>
      </w:r>
      <w:r>
        <w:rPr>
          <w:szCs w:val="24"/>
          <w:lang w:val="lv-LV"/>
        </w:rPr>
        <w:tab/>
        <w:t>Gaļai un blakusproduktiem:</w:t>
      </w:r>
      <w:r>
        <w:rPr>
          <w:szCs w:val="24"/>
          <w:lang w:val="lv-LV"/>
        </w:rPr>
        <w:tab/>
        <w:t>nulle dienas</w:t>
      </w:r>
      <w:r w:rsidR="00EA5B8B">
        <w:rPr>
          <w:szCs w:val="24"/>
          <w:lang w:val="lv-LV"/>
        </w:rPr>
        <w:t>.</w:t>
      </w:r>
    </w:p>
    <w:p w14:paraId="6FB4CFF7" w14:textId="5BA24144" w:rsidR="008E12BC" w:rsidRDefault="008E12BC" w:rsidP="00354FEA">
      <w:pPr>
        <w:tabs>
          <w:tab w:val="left" w:pos="2410"/>
          <w:tab w:val="left" w:pos="2470"/>
          <w:tab w:val="left" w:pos="3686"/>
        </w:tabs>
        <w:rPr>
          <w:szCs w:val="24"/>
          <w:lang w:val="lv-LV"/>
        </w:rPr>
      </w:pPr>
      <w:r>
        <w:rPr>
          <w:szCs w:val="24"/>
          <w:lang w:val="lv-LV"/>
        </w:rPr>
        <w:t>Liellopi</w:t>
      </w:r>
      <w:r w:rsidR="008449A7">
        <w:rPr>
          <w:szCs w:val="24"/>
          <w:lang w:val="lv-LV"/>
        </w:rPr>
        <w:t>em</w:t>
      </w:r>
      <w:r>
        <w:rPr>
          <w:szCs w:val="24"/>
          <w:lang w:val="lv-LV"/>
        </w:rPr>
        <w:t>, zirgi</w:t>
      </w:r>
      <w:r w:rsidR="008449A7">
        <w:rPr>
          <w:szCs w:val="24"/>
          <w:lang w:val="lv-LV"/>
        </w:rPr>
        <w:t>em</w:t>
      </w:r>
      <w:r w:rsidR="008449A7">
        <w:rPr>
          <w:szCs w:val="24"/>
          <w:lang w:val="lv-LV"/>
        </w:rPr>
        <w:tab/>
      </w:r>
      <w:r w:rsidR="008449A7">
        <w:rPr>
          <w:szCs w:val="24"/>
          <w:lang w:val="lv-LV"/>
        </w:rPr>
        <w:tab/>
      </w:r>
      <w:r>
        <w:rPr>
          <w:b/>
          <w:szCs w:val="24"/>
          <w:lang w:val="lv-LV"/>
        </w:rPr>
        <w:tab/>
      </w:r>
      <w:r>
        <w:rPr>
          <w:szCs w:val="24"/>
          <w:lang w:val="lv-LV"/>
        </w:rPr>
        <w:t>Pienam:</w:t>
      </w:r>
      <w:r>
        <w:rPr>
          <w:szCs w:val="24"/>
          <w:lang w:val="lv-LV"/>
        </w:rPr>
        <w:tab/>
      </w:r>
      <w:r w:rsidR="008449A7">
        <w:rPr>
          <w:szCs w:val="24"/>
          <w:lang w:val="lv-LV"/>
        </w:rPr>
        <w:tab/>
      </w:r>
      <w:r w:rsidR="008449A7">
        <w:rPr>
          <w:szCs w:val="24"/>
          <w:lang w:val="lv-LV"/>
        </w:rPr>
        <w:tab/>
      </w:r>
      <w:r>
        <w:rPr>
          <w:szCs w:val="24"/>
          <w:lang w:val="lv-LV"/>
        </w:rPr>
        <w:t>nulle stundas</w:t>
      </w:r>
      <w:r w:rsidR="00EA5B8B">
        <w:rPr>
          <w:szCs w:val="24"/>
          <w:lang w:val="lv-LV"/>
        </w:rPr>
        <w:t>.</w:t>
      </w:r>
    </w:p>
    <w:p w14:paraId="069B1F09" w14:textId="10680356" w:rsidR="008E12BC" w:rsidRDefault="008E12BC" w:rsidP="008E12BC">
      <w:pPr>
        <w:tabs>
          <w:tab w:val="clear" w:pos="567"/>
        </w:tabs>
        <w:spacing w:line="240" w:lineRule="auto"/>
        <w:rPr>
          <w:i/>
          <w:szCs w:val="24"/>
          <w:lang w:val="lv-LV"/>
        </w:rPr>
      </w:pPr>
    </w:p>
    <w:p w14:paraId="0154A854" w14:textId="77777777" w:rsidR="008449A7" w:rsidRDefault="008449A7" w:rsidP="008E12BC">
      <w:pPr>
        <w:tabs>
          <w:tab w:val="clear" w:pos="567"/>
        </w:tabs>
        <w:spacing w:line="240" w:lineRule="auto"/>
        <w:rPr>
          <w:i/>
          <w:szCs w:val="24"/>
          <w:lang w:val="lv-LV"/>
        </w:rPr>
      </w:pPr>
    </w:p>
    <w:p w14:paraId="080249C1"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11.</w:t>
      </w:r>
      <w:r>
        <w:rPr>
          <w:b/>
          <w:szCs w:val="24"/>
          <w:lang w:val="lv-LV"/>
        </w:rPr>
        <w:tab/>
        <w:t>ĪPAŠI UZGLABĀŠANAS NORĀDĪJUMI</w:t>
      </w:r>
    </w:p>
    <w:p w14:paraId="5AD42E67" w14:textId="77777777" w:rsidR="008E12BC" w:rsidRDefault="008E12BC" w:rsidP="008E12BC">
      <w:pPr>
        <w:tabs>
          <w:tab w:val="clear" w:pos="567"/>
        </w:tabs>
        <w:spacing w:line="240" w:lineRule="auto"/>
        <w:rPr>
          <w:szCs w:val="24"/>
          <w:lang w:val="lv-LV"/>
        </w:rPr>
      </w:pPr>
    </w:p>
    <w:p w14:paraId="19051597" w14:textId="77777777" w:rsidR="008E12BC" w:rsidRDefault="008E12BC" w:rsidP="008E12BC">
      <w:pPr>
        <w:tabs>
          <w:tab w:val="clear" w:pos="567"/>
        </w:tabs>
        <w:spacing w:line="240" w:lineRule="auto"/>
        <w:rPr>
          <w:szCs w:val="24"/>
          <w:lang w:val="lv-LV"/>
        </w:rPr>
      </w:pPr>
      <w:r>
        <w:rPr>
          <w:szCs w:val="24"/>
          <w:lang w:val="lv-LV"/>
        </w:rPr>
        <w:t>Uzglabāt bērniem neredzamā un nepieejamā vietā.</w:t>
      </w:r>
    </w:p>
    <w:p w14:paraId="160C0238" w14:textId="77777777" w:rsidR="008449A7" w:rsidRDefault="008E12BC" w:rsidP="008E12BC">
      <w:pPr>
        <w:rPr>
          <w:szCs w:val="24"/>
          <w:lang w:val="lv-LV"/>
        </w:rPr>
      </w:pPr>
      <w:r>
        <w:rPr>
          <w:szCs w:val="24"/>
          <w:lang w:val="lv-LV"/>
        </w:rPr>
        <w:t xml:space="preserve">Uzglabāt ledusskapī (2°C – 8°C). </w:t>
      </w:r>
    </w:p>
    <w:p w14:paraId="7319F21B" w14:textId="27CA46D4" w:rsidR="008E12BC" w:rsidRDefault="008E12BC" w:rsidP="008E12BC">
      <w:pPr>
        <w:rPr>
          <w:szCs w:val="24"/>
          <w:lang w:val="lv-LV"/>
        </w:rPr>
      </w:pPr>
      <w:r>
        <w:rPr>
          <w:szCs w:val="24"/>
          <w:lang w:val="lv-LV"/>
        </w:rPr>
        <w:t>Uzglabāt flakonu ārējā kartona iepakojumā, lai pasargātu no gaismas.</w:t>
      </w:r>
    </w:p>
    <w:p w14:paraId="4569F51D" w14:textId="77777777" w:rsidR="008E12BC" w:rsidRDefault="008E12BC" w:rsidP="008E12BC">
      <w:pPr>
        <w:rPr>
          <w:szCs w:val="24"/>
          <w:lang w:val="lv-LV"/>
        </w:rPr>
      </w:pPr>
      <w:r>
        <w:rPr>
          <w:szCs w:val="24"/>
          <w:lang w:val="lv-LV"/>
        </w:rPr>
        <w:t>Pēc atvēršanas uzglabāt temperatūrā līdz 25°C.</w:t>
      </w:r>
    </w:p>
    <w:p w14:paraId="360E9932" w14:textId="00684DFD" w:rsidR="008449A7" w:rsidRDefault="008E12BC" w:rsidP="008E12BC">
      <w:pPr>
        <w:tabs>
          <w:tab w:val="clear" w:pos="567"/>
        </w:tabs>
        <w:spacing w:line="240" w:lineRule="auto"/>
        <w:rPr>
          <w:szCs w:val="24"/>
          <w:lang w:val="lv-LV"/>
        </w:rPr>
      </w:pPr>
      <w:r>
        <w:rPr>
          <w:szCs w:val="24"/>
          <w:lang w:val="lv-LV"/>
        </w:rPr>
        <w:t>Nelietot šīs veterinārās zāles, ja beidzies derīguma termiņš, k</w:t>
      </w:r>
      <w:r w:rsidR="008449A7">
        <w:rPr>
          <w:szCs w:val="24"/>
          <w:lang w:val="lv-LV"/>
        </w:rPr>
        <w:t>as</w:t>
      </w:r>
      <w:r>
        <w:rPr>
          <w:szCs w:val="24"/>
          <w:lang w:val="lv-LV"/>
        </w:rPr>
        <w:t xml:space="preserve"> norādīts uz iepakojuma un flakona marķējumā pēc „Derīgs līdz”. Derīguma termiņš attiecināms uz mēneša pēdējo dienu. </w:t>
      </w:r>
    </w:p>
    <w:p w14:paraId="0CED2464" w14:textId="6FFF73E9" w:rsidR="008E12BC" w:rsidRDefault="008E12BC" w:rsidP="008E12BC">
      <w:pPr>
        <w:tabs>
          <w:tab w:val="clear" w:pos="567"/>
        </w:tabs>
        <w:spacing w:line="240" w:lineRule="auto"/>
        <w:rPr>
          <w:szCs w:val="24"/>
          <w:lang w:val="lv-LV"/>
        </w:rPr>
      </w:pPr>
      <w:r>
        <w:rPr>
          <w:szCs w:val="24"/>
          <w:lang w:val="lv-LV"/>
        </w:rPr>
        <w:t>Derīguma termiņš pēc pirmās tiešā iepakojuma atvēršanas: 28 dienas.</w:t>
      </w:r>
    </w:p>
    <w:p w14:paraId="0099D56B" w14:textId="0F891658" w:rsidR="008E12BC" w:rsidRDefault="008E12BC" w:rsidP="008E12BC">
      <w:pPr>
        <w:tabs>
          <w:tab w:val="clear" w:pos="567"/>
        </w:tabs>
        <w:spacing w:line="240" w:lineRule="auto"/>
        <w:rPr>
          <w:szCs w:val="24"/>
          <w:lang w:val="lv-LV"/>
        </w:rPr>
      </w:pPr>
      <w:r>
        <w:rPr>
          <w:szCs w:val="24"/>
          <w:lang w:val="lv-LV"/>
        </w:rPr>
        <w:lastRenderedPageBreak/>
        <w:t xml:space="preserve">Pēc </w:t>
      </w:r>
      <w:r w:rsidR="008449A7">
        <w:rPr>
          <w:szCs w:val="24"/>
          <w:lang w:val="lv-LV"/>
        </w:rPr>
        <w:t xml:space="preserve">iepakojuma </w:t>
      </w:r>
      <w:r>
        <w:rPr>
          <w:szCs w:val="24"/>
          <w:lang w:val="lv-LV"/>
        </w:rPr>
        <w:t>pirmreizējas caurduršanas (atvēršanas), izmantojot šajā lietošanas instrukcijā norādīto derīguma termiņu pēc atvēršanas, jāaprēķina datums, kurā jāiz</w:t>
      </w:r>
      <w:r w:rsidR="008449A7">
        <w:rPr>
          <w:szCs w:val="24"/>
          <w:lang w:val="lv-LV"/>
        </w:rPr>
        <w:t>nīcina</w:t>
      </w:r>
      <w:r>
        <w:rPr>
          <w:szCs w:val="24"/>
          <w:lang w:val="lv-LV"/>
        </w:rPr>
        <w:t xml:space="preserve"> flakonā atlikušās zāles. Šis </w:t>
      </w:r>
      <w:r w:rsidR="008449A7">
        <w:rPr>
          <w:szCs w:val="24"/>
          <w:lang w:val="lv-LV"/>
        </w:rPr>
        <w:t xml:space="preserve">iznīcināšanas </w:t>
      </w:r>
      <w:r>
        <w:rPr>
          <w:szCs w:val="24"/>
          <w:lang w:val="lv-LV"/>
        </w:rPr>
        <w:t>datums jāieraksta brīvajā laukumā uz marķējuma.</w:t>
      </w:r>
    </w:p>
    <w:p w14:paraId="289D091E" w14:textId="4C4CD3B6" w:rsidR="008E12BC" w:rsidRDefault="008E12BC" w:rsidP="008E12BC">
      <w:pPr>
        <w:tabs>
          <w:tab w:val="clear" w:pos="567"/>
        </w:tabs>
        <w:spacing w:line="240" w:lineRule="auto"/>
        <w:rPr>
          <w:szCs w:val="24"/>
          <w:lang w:val="lv-LV"/>
        </w:rPr>
      </w:pPr>
    </w:p>
    <w:p w14:paraId="3A62D6FE" w14:textId="77777777" w:rsidR="008449A7" w:rsidRDefault="008449A7" w:rsidP="008E12BC">
      <w:pPr>
        <w:tabs>
          <w:tab w:val="clear" w:pos="567"/>
        </w:tabs>
        <w:spacing w:line="240" w:lineRule="auto"/>
        <w:rPr>
          <w:szCs w:val="24"/>
          <w:lang w:val="lv-LV"/>
        </w:rPr>
      </w:pPr>
    </w:p>
    <w:p w14:paraId="2B7393ED"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12.</w:t>
      </w:r>
      <w:r>
        <w:rPr>
          <w:b/>
          <w:szCs w:val="24"/>
          <w:lang w:val="lv-LV"/>
        </w:rPr>
        <w:tab/>
        <w:t>ĪPAŠI BRĪDINĀJUMI</w:t>
      </w:r>
    </w:p>
    <w:p w14:paraId="0BFEA9C7" w14:textId="77777777" w:rsidR="008E12BC" w:rsidRDefault="008E12BC" w:rsidP="008E12BC">
      <w:pPr>
        <w:rPr>
          <w:szCs w:val="24"/>
          <w:lang w:val="lv-LV"/>
        </w:rPr>
      </w:pPr>
    </w:p>
    <w:p w14:paraId="43C3FBBD" w14:textId="519F7ACF" w:rsidR="008E12BC" w:rsidRDefault="008E12BC" w:rsidP="008E12BC">
      <w:pPr>
        <w:rPr>
          <w:szCs w:val="24"/>
          <w:u w:val="single"/>
          <w:lang w:val="lv-LV"/>
        </w:rPr>
      </w:pPr>
      <w:r>
        <w:rPr>
          <w:szCs w:val="24"/>
          <w:u w:val="single"/>
          <w:lang w:val="lv-LV"/>
        </w:rPr>
        <w:t>Īpaši brīdinājumi katrai dzīvnieku sugai</w:t>
      </w:r>
      <w:r w:rsidR="0013205A">
        <w:rPr>
          <w:szCs w:val="24"/>
          <w:u w:val="single"/>
          <w:lang w:val="lv-LV"/>
        </w:rPr>
        <w:t>:</w:t>
      </w:r>
    </w:p>
    <w:p w14:paraId="509D6BF2" w14:textId="6AA97418" w:rsidR="008E12BC" w:rsidRDefault="008E12BC" w:rsidP="008E12BC">
      <w:pPr>
        <w:jc w:val="both"/>
        <w:rPr>
          <w:color w:val="000000"/>
          <w:szCs w:val="24"/>
          <w:lang w:val="lv-LV"/>
        </w:rPr>
      </w:pPr>
      <w:r>
        <w:rPr>
          <w:color w:val="000000"/>
          <w:szCs w:val="24"/>
          <w:lang w:val="lv-LV"/>
        </w:rPr>
        <w:t xml:space="preserve">Lai līdz maksimumam palielinātu apaugļošanās iespēju govīm, kurām </w:t>
      </w:r>
      <w:r w:rsidRPr="009B5BB7">
        <w:rPr>
          <w:color w:val="000000"/>
          <w:szCs w:val="24"/>
          <w:lang w:val="lv-LV"/>
        </w:rPr>
        <w:t xml:space="preserve">saskaņā ar sinhronizācijas protokoliem </w:t>
      </w:r>
      <w:r>
        <w:rPr>
          <w:color w:val="000000"/>
          <w:szCs w:val="24"/>
          <w:lang w:val="lv-LV"/>
        </w:rPr>
        <w:t>ārstēšanā izmanto GnRH-PGF</w:t>
      </w:r>
      <w:r>
        <w:rPr>
          <w:color w:val="000000"/>
          <w:szCs w:val="24"/>
          <w:vertAlign w:val="subscript"/>
          <w:lang w:val="lv-LV"/>
        </w:rPr>
        <w:t>2α</w:t>
      </w:r>
      <w:r>
        <w:rPr>
          <w:color w:val="000000"/>
          <w:szCs w:val="24"/>
          <w:lang w:val="lv-LV"/>
        </w:rPr>
        <w:t>, jānosaka olnīcu stāvoklis un jāapstiprina regulāra</w:t>
      </w:r>
      <w:r w:rsidR="008449A7">
        <w:rPr>
          <w:color w:val="000000"/>
          <w:szCs w:val="24"/>
          <w:lang w:val="lv-LV"/>
        </w:rPr>
        <w:t>,</w:t>
      </w:r>
      <w:r>
        <w:rPr>
          <w:color w:val="000000"/>
          <w:szCs w:val="24"/>
          <w:lang w:val="lv-LV"/>
        </w:rPr>
        <w:t xml:space="preserve"> cikliska olnīcu aktivitāte. Optimāl</w:t>
      </w:r>
      <w:r w:rsidR="00C26E44">
        <w:rPr>
          <w:color w:val="000000"/>
          <w:szCs w:val="24"/>
          <w:lang w:val="lv-LV"/>
        </w:rPr>
        <w:t>us</w:t>
      </w:r>
      <w:r>
        <w:rPr>
          <w:color w:val="000000"/>
          <w:szCs w:val="24"/>
          <w:lang w:val="lv-LV"/>
        </w:rPr>
        <w:t xml:space="preserve"> rezultāt</w:t>
      </w:r>
      <w:r w:rsidR="00C26E44">
        <w:rPr>
          <w:color w:val="000000"/>
          <w:szCs w:val="24"/>
          <w:lang w:val="lv-LV"/>
        </w:rPr>
        <w:t>us</w:t>
      </w:r>
      <w:r>
        <w:rPr>
          <w:color w:val="000000"/>
          <w:szCs w:val="24"/>
          <w:lang w:val="lv-LV"/>
        </w:rPr>
        <w:t xml:space="preserve"> </w:t>
      </w:r>
      <w:r w:rsidR="00C26E44">
        <w:rPr>
          <w:color w:val="000000"/>
          <w:szCs w:val="24"/>
          <w:lang w:val="lv-LV"/>
        </w:rPr>
        <w:t>sasniegs</w:t>
      </w:r>
      <w:r>
        <w:rPr>
          <w:color w:val="000000"/>
          <w:szCs w:val="24"/>
          <w:lang w:val="lv-LV"/>
        </w:rPr>
        <w:t xml:space="preserve"> veselām govīm ar normāl</w:t>
      </w:r>
      <w:r w:rsidR="00C26E44">
        <w:rPr>
          <w:color w:val="000000"/>
          <w:szCs w:val="24"/>
          <w:lang w:val="lv-LV"/>
        </w:rPr>
        <w:t>u</w:t>
      </w:r>
      <w:r>
        <w:rPr>
          <w:color w:val="000000"/>
          <w:szCs w:val="24"/>
          <w:lang w:val="lv-LV"/>
        </w:rPr>
        <w:t xml:space="preserve"> cikl</w:t>
      </w:r>
      <w:r w:rsidR="00C26E44">
        <w:rPr>
          <w:color w:val="000000"/>
          <w:szCs w:val="24"/>
          <w:lang w:val="lv-LV"/>
        </w:rPr>
        <w:t>u</w:t>
      </w:r>
      <w:r>
        <w:rPr>
          <w:color w:val="000000"/>
          <w:szCs w:val="24"/>
          <w:lang w:val="lv-LV"/>
        </w:rPr>
        <w:t>.</w:t>
      </w:r>
    </w:p>
    <w:p w14:paraId="424302D3" w14:textId="77777777" w:rsidR="008E12BC" w:rsidRDefault="008E12BC" w:rsidP="008E12BC">
      <w:pPr>
        <w:rPr>
          <w:color w:val="000000"/>
          <w:szCs w:val="24"/>
          <w:u w:val="single"/>
          <w:lang w:val="lv-LV"/>
        </w:rPr>
      </w:pPr>
    </w:p>
    <w:p w14:paraId="1FD01F50" w14:textId="01D7A925" w:rsidR="008E12BC" w:rsidRDefault="008E12BC" w:rsidP="008E12BC">
      <w:pPr>
        <w:rPr>
          <w:color w:val="000000"/>
          <w:szCs w:val="24"/>
          <w:u w:val="single"/>
          <w:lang w:val="lv-LV"/>
        </w:rPr>
      </w:pPr>
      <w:r>
        <w:rPr>
          <w:color w:val="000000"/>
          <w:szCs w:val="24"/>
          <w:u w:val="single"/>
          <w:lang w:val="lv-LV"/>
        </w:rPr>
        <w:t xml:space="preserve">Īpaši </w:t>
      </w:r>
      <w:r w:rsidR="0013205A">
        <w:rPr>
          <w:color w:val="000000"/>
          <w:szCs w:val="24"/>
          <w:u w:val="single"/>
          <w:lang w:val="lv-LV"/>
        </w:rPr>
        <w:t xml:space="preserve">piesardzības pasākumi, kas jāievēro </w:t>
      </w:r>
      <w:r>
        <w:rPr>
          <w:color w:val="000000"/>
          <w:szCs w:val="24"/>
          <w:u w:val="single"/>
          <w:lang w:val="lv-LV"/>
        </w:rPr>
        <w:t>personai, kura lieto veterinārās zāles dzīvnieku ārstēšanai</w:t>
      </w:r>
    </w:p>
    <w:p w14:paraId="0E4DFE8E" w14:textId="4ACDADAF" w:rsidR="008E12BC" w:rsidRDefault="008E12BC" w:rsidP="008E12BC">
      <w:pPr>
        <w:tabs>
          <w:tab w:val="clear" w:pos="567"/>
          <w:tab w:val="left" w:pos="572"/>
        </w:tabs>
        <w:rPr>
          <w:color w:val="000000"/>
          <w:szCs w:val="24"/>
          <w:lang w:val="lv-LV"/>
        </w:rPr>
      </w:pPr>
      <w:r>
        <w:rPr>
          <w:szCs w:val="24"/>
          <w:lang w:val="lv-LV"/>
        </w:rPr>
        <w:t>Ievadīšana jāveic uzmanīgi, lai nepieļautu nejaušu (gadījuma rakstura) pašinjicēšanu.</w:t>
      </w:r>
      <w:r>
        <w:rPr>
          <w:color w:val="000000"/>
          <w:szCs w:val="24"/>
          <w:lang w:val="lv-LV"/>
        </w:rPr>
        <w:t xml:space="preserve"> </w:t>
      </w:r>
      <w:r>
        <w:rPr>
          <w:szCs w:val="24"/>
          <w:lang w:val="lv-LV"/>
        </w:rPr>
        <w:t>Ja notikusi nejauša (gadījuma rakstura) pašinjicēšana, nekavējoties meklēt medicīnisko palīdzību un uzrādīt lietošanas instrukciju vai iepakojuma marķējumu ārstam.</w:t>
      </w:r>
      <w:r>
        <w:rPr>
          <w:color w:val="000000"/>
          <w:szCs w:val="24"/>
          <w:lang w:val="lv-LV"/>
        </w:rPr>
        <w:t xml:space="preserve"> Tā kā GnRH analogi var uzsūkties caur ādu, ja notiek nejauša (gadījuma rakstura) saskare ar ādu vai acīm, </w:t>
      </w:r>
      <w:r w:rsidR="00C26E44">
        <w:rPr>
          <w:color w:val="000000"/>
          <w:szCs w:val="24"/>
          <w:lang w:val="lv-LV"/>
        </w:rPr>
        <w:t xml:space="preserve">skarto vietu </w:t>
      </w:r>
      <w:r>
        <w:rPr>
          <w:color w:val="000000"/>
          <w:szCs w:val="24"/>
          <w:lang w:val="lv-LV"/>
        </w:rPr>
        <w:t>rūpīgi skalo</w:t>
      </w:r>
      <w:r w:rsidR="00C26E44">
        <w:rPr>
          <w:color w:val="000000"/>
          <w:szCs w:val="24"/>
          <w:lang w:val="lv-LV"/>
        </w:rPr>
        <w:t>t</w:t>
      </w:r>
      <w:r>
        <w:rPr>
          <w:color w:val="000000"/>
          <w:szCs w:val="24"/>
          <w:lang w:val="lv-LV"/>
        </w:rPr>
        <w:t xml:space="preserve"> ar ūdeni. Ar šīm veterinārajām zālēm nedrīkst strādāt grūtnieces. </w:t>
      </w:r>
      <w:r>
        <w:rPr>
          <w:szCs w:val="24"/>
          <w:lang w:val="lv-LV"/>
        </w:rPr>
        <w:t xml:space="preserve">Sievietēm reproduktīvā vecumā šīs veterinārās zāles jālieto piesardzīgi. </w:t>
      </w:r>
      <w:r>
        <w:rPr>
          <w:color w:val="000000"/>
          <w:szCs w:val="24"/>
          <w:lang w:val="lv-LV"/>
        </w:rPr>
        <w:t xml:space="preserve">Personām ar </w:t>
      </w:r>
      <w:r w:rsidR="00C26E44">
        <w:rPr>
          <w:color w:val="000000"/>
          <w:szCs w:val="24"/>
          <w:lang w:val="lv-LV"/>
        </w:rPr>
        <w:t xml:space="preserve">zināmu </w:t>
      </w:r>
      <w:r>
        <w:rPr>
          <w:color w:val="000000"/>
          <w:szCs w:val="24"/>
          <w:lang w:val="lv-LV"/>
        </w:rPr>
        <w:t xml:space="preserve">pastiprinātu jutību pret GnRH </w:t>
      </w:r>
      <w:r w:rsidR="00B47A0C" w:rsidRPr="00B47A0C">
        <w:rPr>
          <w:color w:val="000000"/>
          <w:szCs w:val="24"/>
          <w:lang w:val="lv-LV"/>
        </w:rPr>
        <w:t>vajadzētu izvairīties no saskares ar šīm veterinārajām zālēm.</w:t>
      </w:r>
    </w:p>
    <w:p w14:paraId="612B53CB" w14:textId="77777777" w:rsidR="008E12BC" w:rsidRDefault="008E12BC" w:rsidP="008E12BC">
      <w:pPr>
        <w:tabs>
          <w:tab w:val="clear" w:pos="567"/>
          <w:tab w:val="left" w:pos="572"/>
        </w:tabs>
        <w:rPr>
          <w:color w:val="000000"/>
          <w:szCs w:val="24"/>
          <w:lang w:val="lv-LV"/>
        </w:rPr>
      </w:pPr>
    </w:p>
    <w:p w14:paraId="563A7427" w14:textId="66D84AF0" w:rsidR="008E12BC" w:rsidRDefault="008E12BC" w:rsidP="008E12BC">
      <w:pPr>
        <w:tabs>
          <w:tab w:val="clear" w:pos="567"/>
        </w:tabs>
        <w:spacing w:line="240" w:lineRule="auto"/>
        <w:rPr>
          <w:szCs w:val="24"/>
          <w:u w:val="single"/>
          <w:lang w:val="lv-LV"/>
        </w:rPr>
      </w:pPr>
      <w:r>
        <w:rPr>
          <w:szCs w:val="24"/>
          <w:u w:val="single"/>
          <w:lang w:val="lv-LV"/>
        </w:rPr>
        <w:t>Laktācija:</w:t>
      </w:r>
    </w:p>
    <w:p w14:paraId="1B86DB1B" w14:textId="12BFBCFF" w:rsidR="008E12BC" w:rsidRDefault="008E12BC" w:rsidP="008E12BC">
      <w:pPr>
        <w:tabs>
          <w:tab w:val="clear" w:pos="567"/>
        </w:tabs>
        <w:spacing w:line="240" w:lineRule="auto"/>
        <w:rPr>
          <w:szCs w:val="24"/>
          <w:lang w:val="lv-LV"/>
        </w:rPr>
      </w:pPr>
      <w:r>
        <w:rPr>
          <w:szCs w:val="24"/>
          <w:lang w:val="lv-LV"/>
        </w:rPr>
        <w:t>Drīkst lietot laktācijas laikā</w:t>
      </w:r>
      <w:r w:rsidR="00C26E44">
        <w:rPr>
          <w:szCs w:val="24"/>
          <w:lang w:val="lv-LV"/>
        </w:rPr>
        <w:t>.</w:t>
      </w:r>
    </w:p>
    <w:p w14:paraId="1F90539B" w14:textId="77777777" w:rsidR="008E12BC" w:rsidRDefault="008E12BC" w:rsidP="008E12BC">
      <w:pPr>
        <w:tabs>
          <w:tab w:val="clear" w:pos="567"/>
        </w:tabs>
        <w:spacing w:line="240" w:lineRule="auto"/>
        <w:rPr>
          <w:szCs w:val="24"/>
          <w:u w:val="single"/>
          <w:lang w:val="lv-LV"/>
        </w:rPr>
      </w:pPr>
    </w:p>
    <w:p w14:paraId="7EE42F01" w14:textId="4F8CDE40" w:rsidR="008E12BC" w:rsidRDefault="008E12BC" w:rsidP="008E12BC">
      <w:pPr>
        <w:tabs>
          <w:tab w:val="clear" w:pos="567"/>
        </w:tabs>
        <w:spacing w:line="240" w:lineRule="auto"/>
        <w:rPr>
          <w:szCs w:val="24"/>
          <w:u w:val="single"/>
          <w:lang w:val="lv-LV"/>
        </w:rPr>
      </w:pPr>
      <w:r>
        <w:rPr>
          <w:szCs w:val="24"/>
          <w:u w:val="single"/>
          <w:lang w:val="lv-LV"/>
        </w:rPr>
        <w:t>Mijiedarbība ar citām zālēm un citi mijiedarbības veidi</w:t>
      </w:r>
    </w:p>
    <w:p w14:paraId="12EC476E" w14:textId="611E40C3" w:rsidR="008E12BC" w:rsidRDefault="008E12BC" w:rsidP="008E12BC">
      <w:pPr>
        <w:ind w:left="28"/>
        <w:rPr>
          <w:szCs w:val="24"/>
          <w:lang w:val="lv-LV"/>
        </w:rPr>
      </w:pPr>
      <w:r>
        <w:rPr>
          <w:szCs w:val="24"/>
          <w:lang w:val="lv-LV"/>
        </w:rPr>
        <w:t xml:space="preserve">Lietojot </w:t>
      </w:r>
      <w:r w:rsidRPr="00A72DBA">
        <w:rPr>
          <w:szCs w:val="24"/>
          <w:lang w:val="lv-LV"/>
        </w:rPr>
        <w:t>kombinācijā ar FSH, rodas sinerģiska iedarbība</w:t>
      </w:r>
      <w:r w:rsidR="00A72DBA" w:rsidRPr="00354FEA">
        <w:rPr>
          <w:szCs w:val="24"/>
          <w:lang w:val="lv-LV"/>
        </w:rPr>
        <w:t>, īpaši traucēta puerper</w:t>
      </w:r>
      <w:r w:rsidR="00C26E44" w:rsidRPr="00354FEA">
        <w:rPr>
          <w:szCs w:val="24"/>
          <w:lang w:val="lv-LV"/>
        </w:rPr>
        <w:t>ālā period</w:t>
      </w:r>
      <w:r w:rsidR="009524CD">
        <w:rPr>
          <w:szCs w:val="24"/>
          <w:lang w:val="lv-LV"/>
        </w:rPr>
        <w:t>a</w:t>
      </w:r>
      <w:r w:rsidR="00A72DBA" w:rsidRPr="00354FEA">
        <w:rPr>
          <w:szCs w:val="24"/>
          <w:lang w:val="lv-LV"/>
        </w:rPr>
        <w:t xml:space="preserve"> gadījumā</w:t>
      </w:r>
      <w:r w:rsidRPr="00C26E44">
        <w:rPr>
          <w:szCs w:val="24"/>
          <w:lang w:val="lv-LV"/>
        </w:rPr>
        <w:t>.</w:t>
      </w:r>
      <w:r>
        <w:rPr>
          <w:szCs w:val="24"/>
          <w:lang w:val="lv-LV"/>
        </w:rPr>
        <w:t xml:space="preserve"> Vienlaicīga cilvēka vai zirga horiongonadotropīna lietošana var izraisīt olnīcu hiperstimulāciju.</w:t>
      </w:r>
    </w:p>
    <w:p w14:paraId="0D7D096D" w14:textId="77777777" w:rsidR="008E12BC" w:rsidRDefault="008E12BC" w:rsidP="008E12BC">
      <w:pPr>
        <w:ind w:left="28"/>
        <w:rPr>
          <w:szCs w:val="24"/>
          <w:lang w:val="lv-LV"/>
        </w:rPr>
      </w:pPr>
    </w:p>
    <w:p w14:paraId="10DF527F" w14:textId="77777777" w:rsidR="008E12BC" w:rsidRDefault="008E12BC" w:rsidP="008E12BC">
      <w:pPr>
        <w:tabs>
          <w:tab w:val="clear" w:pos="567"/>
        </w:tabs>
        <w:spacing w:line="240" w:lineRule="auto"/>
        <w:rPr>
          <w:szCs w:val="24"/>
          <w:u w:val="single"/>
          <w:lang w:val="lv-LV"/>
        </w:rPr>
      </w:pPr>
      <w:r>
        <w:rPr>
          <w:szCs w:val="24"/>
          <w:u w:val="single"/>
          <w:lang w:val="lv-LV"/>
        </w:rPr>
        <w:t>Nesaderība</w:t>
      </w:r>
    </w:p>
    <w:p w14:paraId="626C98F1" w14:textId="77777777" w:rsidR="008E12BC" w:rsidRDefault="008E12BC" w:rsidP="008E12BC">
      <w:pPr>
        <w:tabs>
          <w:tab w:val="clear" w:pos="567"/>
        </w:tabs>
        <w:spacing w:line="240" w:lineRule="auto"/>
        <w:rPr>
          <w:szCs w:val="24"/>
          <w:lang w:val="lv-LV"/>
        </w:rPr>
      </w:pPr>
      <w:r>
        <w:rPr>
          <w:szCs w:val="24"/>
          <w:lang w:val="lv-LV"/>
        </w:rPr>
        <w:t>Tā kā nav veikti saderības pētījumi, šīs veterinārās zāles nedrīkst lietot maisījumā ar citām veterinārajām zālēm.</w:t>
      </w:r>
    </w:p>
    <w:p w14:paraId="7B344856" w14:textId="10B3F59C" w:rsidR="008E12BC" w:rsidRDefault="008E12BC" w:rsidP="008E12BC">
      <w:pPr>
        <w:tabs>
          <w:tab w:val="clear" w:pos="567"/>
        </w:tabs>
        <w:spacing w:line="240" w:lineRule="auto"/>
        <w:rPr>
          <w:szCs w:val="24"/>
          <w:lang w:val="lv-LV"/>
        </w:rPr>
      </w:pPr>
    </w:p>
    <w:p w14:paraId="62E2100D" w14:textId="77777777" w:rsidR="00C26E44" w:rsidRDefault="00C26E44" w:rsidP="008E12BC">
      <w:pPr>
        <w:tabs>
          <w:tab w:val="clear" w:pos="567"/>
        </w:tabs>
        <w:spacing w:line="240" w:lineRule="auto"/>
        <w:rPr>
          <w:szCs w:val="24"/>
          <w:lang w:val="lv-LV"/>
        </w:rPr>
      </w:pPr>
    </w:p>
    <w:p w14:paraId="1FC815F0" w14:textId="77777777" w:rsidR="008E12BC" w:rsidRDefault="008E12BC" w:rsidP="008E12BC">
      <w:pPr>
        <w:keepNext/>
        <w:tabs>
          <w:tab w:val="clear" w:pos="567"/>
        </w:tabs>
        <w:spacing w:line="240" w:lineRule="auto"/>
        <w:ind w:left="567" w:hanging="567"/>
        <w:rPr>
          <w:b/>
          <w:szCs w:val="24"/>
          <w:lang w:val="lv-LV"/>
        </w:rPr>
      </w:pPr>
      <w:r w:rsidRPr="00354FEA">
        <w:rPr>
          <w:b/>
          <w:szCs w:val="24"/>
          <w:highlight w:val="lightGray"/>
          <w:lang w:val="lv-LV"/>
        </w:rPr>
        <w:t>13.</w:t>
      </w:r>
      <w:r>
        <w:rPr>
          <w:b/>
          <w:szCs w:val="24"/>
          <w:lang w:val="lv-LV"/>
        </w:rPr>
        <w:tab/>
        <w:t>ĪPAŠI NORĀDĪJUMI NEIZLIETOTU VETERINĀRO ZĀĻU VAI TO ATKRITUMU IZNĪCINĀŠANAI</w:t>
      </w:r>
    </w:p>
    <w:p w14:paraId="59FE540E" w14:textId="77777777" w:rsidR="008E12BC" w:rsidRDefault="008E12BC" w:rsidP="008E12BC">
      <w:pPr>
        <w:tabs>
          <w:tab w:val="clear" w:pos="567"/>
        </w:tabs>
        <w:spacing w:line="240" w:lineRule="auto"/>
        <w:rPr>
          <w:szCs w:val="24"/>
          <w:lang w:val="lv-LV"/>
        </w:rPr>
      </w:pPr>
    </w:p>
    <w:p w14:paraId="40FECB1B" w14:textId="21E19DA3" w:rsidR="008E12BC" w:rsidRDefault="008E12BC" w:rsidP="008E12BC">
      <w:pPr>
        <w:tabs>
          <w:tab w:val="clear" w:pos="567"/>
        </w:tabs>
        <w:spacing w:line="240" w:lineRule="auto"/>
        <w:rPr>
          <w:szCs w:val="24"/>
          <w:lang w:val="lv-LV"/>
        </w:rPr>
      </w:pPr>
      <w:r w:rsidRPr="00C26E44">
        <w:rPr>
          <w:szCs w:val="24"/>
          <w:lang w:val="lv-LV"/>
        </w:rPr>
        <w:t>Jebkuras neizlietot</w:t>
      </w:r>
      <w:r w:rsidR="00C92B17">
        <w:rPr>
          <w:szCs w:val="24"/>
          <w:lang w:val="lv-LV"/>
        </w:rPr>
        <w:t>a</w:t>
      </w:r>
      <w:r w:rsidRPr="00C26E44">
        <w:rPr>
          <w:szCs w:val="24"/>
          <w:lang w:val="lv-LV"/>
        </w:rPr>
        <w:t>s veterinārās zāles vai to atkritumi jāiznīcina saskaņā ar nacionālajiem tiesību aktiem.</w:t>
      </w:r>
    </w:p>
    <w:p w14:paraId="09C29CA2" w14:textId="1850EE75" w:rsidR="008E12BC" w:rsidRDefault="008E12BC" w:rsidP="008E12BC">
      <w:pPr>
        <w:tabs>
          <w:tab w:val="clear" w:pos="567"/>
        </w:tabs>
        <w:spacing w:line="240" w:lineRule="auto"/>
        <w:rPr>
          <w:szCs w:val="24"/>
          <w:lang w:val="lv-LV"/>
        </w:rPr>
      </w:pPr>
    </w:p>
    <w:p w14:paraId="73D8B4C0" w14:textId="77777777" w:rsidR="00C26E44" w:rsidRDefault="00C26E44" w:rsidP="008E12BC">
      <w:pPr>
        <w:tabs>
          <w:tab w:val="clear" w:pos="567"/>
        </w:tabs>
        <w:spacing w:line="240" w:lineRule="auto"/>
        <w:rPr>
          <w:szCs w:val="24"/>
          <w:lang w:val="lv-LV"/>
        </w:rPr>
      </w:pPr>
    </w:p>
    <w:p w14:paraId="09FFB3D1"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14.</w:t>
      </w:r>
      <w:r>
        <w:rPr>
          <w:b/>
          <w:szCs w:val="24"/>
          <w:lang w:val="lv-LV"/>
        </w:rPr>
        <w:tab/>
        <w:t>DATUMS, KAD LIETOŠANAS INSTRUKCIJA PĒDĒJO REIZI TIKA APSTIPRINĀTA</w:t>
      </w:r>
    </w:p>
    <w:p w14:paraId="31A21EE9" w14:textId="77777777" w:rsidR="008E12BC" w:rsidRDefault="008E12BC" w:rsidP="008E12BC">
      <w:pPr>
        <w:tabs>
          <w:tab w:val="clear" w:pos="567"/>
        </w:tabs>
        <w:spacing w:line="240" w:lineRule="auto"/>
        <w:rPr>
          <w:szCs w:val="24"/>
          <w:lang w:val="lv-LV"/>
        </w:rPr>
      </w:pPr>
    </w:p>
    <w:p w14:paraId="33889D26" w14:textId="75E02A26" w:rsidR="008E12BC" w:rsidRDefault="0013205A" w:rsidP="008E12BC">
      <w:pPr>
        <w:tabs>
          <w:tab w:val="clear" w:pos="567"/>
        </w:tabs>
        <w:spacing w:line="240" w:lineRule="auto"/>
        <w:rPr>
          <w:szCs w:val="24"/>
          <w:lang w:val="lv-LV"/>
        </w:rPr>
      </w:pPr>
      <w:r>
        <w:rPr>
          <w:szCs w:val="24"/>
          <w:lang w:val="lv-LV"/>
        </w:rPr>
        <w:t>0</w:t>
      </w:r>
      <w:r w:rsidR="009524CD">
        <w:rPr>
          <w:szCs w:val="24"/>
          <w:lang w:val="lv-LV"/>
        </w:rPr>
        <w:t>4</w:t>
      </w:r>
      <w:r>
        <w:rPr>
          <w:szCs w:val="24"/>
          <w:lang w:val="lv-LV"/>
        </w:rPr>
        <w:t>/</w:t>
      </w:r>
      <w:r w:rsidR="00B47A0C">
        <w:rPr>
          <w:szCs w:val="24"/>
          <w:lang w:val="lv-LV"/>
        </w:rPr>
        <w:t>2020</w:t>
      </w:r>
    </w:p>
    <w:p w14:paraId="54749D5D" w14:textId="77777777" w:rsidR="0013205A" w:rsidRDefault="0013205A" w:rsidP="008E12BC">
      <w:pPr>
        <w:tabs>
          <w:tab w:val="clear" w:pos="567"/>
        </w:tabs>
        <w:spacing w:line="240" w:lineRule="auto"/>
        <w:rPr>
          <w:szCs w:val="24"/>
          <w:lang w:val="lv-LV"/>
        </w:rPr>
      </w:pPr>
    </w:p>
    <w:p w14:paraId="1B017FBE" w14:textId="77777777" w:rsidR="008E12BC" w:rsidRDefault="008E12BC" w:rsidP="008E12BC">
      <w:pPr>
        <w:tabs>
          <w:tab w:val="clear" w:pos="567"/>
        </w:tabs>
        <w:spacing w:line="240" w:lineRule="auto"/>
        <w:rPr>
          <w:szCs w:val="24"/>
          <w:lang w:val="lv-LV"/>
        </w:rPr>
      </w:pPr>
    </w:p>
    <w:p w14:paraId="238E53B2" w14:textId="77777777" w:rsidR="008E12BC" w:rsidRDefault="008E12BC" w:rsidP="008E12BC">
      <w:pPr>
        <w:keepNext/>
        <w:tabs>
          <w:tab w:val="clear" w:pos="567"/>
        </w:tabs>
        <w:spacing w:line="240" w:lineRule="auto"/>
        <w:rPr>
          <w:b/>
          <w:szCs w:val="24"/>
          <w:lang w:val="lv-LV"/>
        </w:rPr>
      </w:pPr>
      <w:r w:rsidRPr="00354FEA">
        <w:rPr>
          <w:b/>
          <w:szCs w:val="24"/>
          <w:highlight w:val="lightGray"/>
          <w:lang w:val="lv-LV"/>
        </w:rPr>
        <w:t>15.</w:t>
      </w:r>
      <w:r>
        <w:rPr>
          <w:b/>
          <w:szCs w:val="24"/>
          <w:lang w:val="lv-LV"/>
        </w:rPr>
        <w:tab/>
        <w:t>CITA INFORMĀCIJA</w:t>
      </w:r>
    </w:p>
    <w:p w14:paraId="262DABEE" w14:textId="77777777" w:rsidR="008E12BC" w:rsidRDefault="008E12BC" w:rsidP="008E12BC">
      <w:pPr>
        <w:tabs>
          <w:tab w:val="clear" w:pos="567"/>
        </w:tabs>
        <w:spacing w:line="240" w:lineRule="auto"/>
        <w:rPr>
          <w:szCs w:val="24"/>
          <w:lang w:val="lv-LV"/>
        </w:rPr>
      </w:pPr>
    </w:p>
    <w:p w14:paraId="4129A240" w14:textId="33BDF3B5" w:rsidR="008E12BC" w:rsidRDefault="008E12BC" w:rsidP="008E12BC">
      <w:pPr>
        <w:tabs>
          <w:tab w:val="clear" w:pos="567"/>
        </w:tabs>
        <w:spacing w:line="240" w:lineRule="auto"/>
        <w:rPr>
          <w:szCs w:val="24"/>
          <w:lang w:val="lv-LV"/>
        </w:rPr>
      </w:pPr>
      <w:r>
        <w:rPr>
          <w:szCs w:val="24"/>
          <w:lang w:val="lv-LV"/>
        </w:rPr>
        <w:t xml:space="preserve">1 flakons (10 ml) kartona </w:t>
      </w:r>
      <w:r w:rsidR="0013205A">
        <w:rPr>
          <w:szCs w:val="24"/>
          <w:lang w:val="lv-LV"/>
        </w:rPr>
        <w:t>kastē</w:t>
      </w:r>
      <w:r>
        <w:rPr>
          <w:szCs w:val="24"/>
          <w:lang w:val="lv-LV"/>
        </w:rPr>
        <w:t>.</w:t>
      </w:r>
    </w:p>
    <w:p w14:paraId="75425474" w14:textId="193B42FE" w:rsidR="008E12BC" w:rsidRDefault="008E12BC" w:rsidP="008E12BC">
      <w:pPr>
        <w:tabs>
          <w:tab w:val="clear" w:pos="567"/>
        </w:tabs>
        <w:spacing w:line="240" w:lineRule="auto"/>
        <w:rPr>
          <w:szCs w:val="24"/>
          <w:lang w:val="lv-LV"/>
        </w:rPr>
      </w:pPr>
      <w:r>
        <w:rPr>
          <w:szCs w:val="24"/>
          <w:lang w:val="lv-LV"/>
        </w:rPr>
        <w:t xml:space="preserve">1 flakons (20 ml) kartona </w:t>
      </w:r>
      <w:r w:rsidR="0013205A">
        <w:rPr>
          <w:szCs w:val="24"/>
          <w:lang w:val="lv-LV"/>
        </w:rPr>
        <w:t>kastē</w:t>
      </w:r>
      <w:r>
        <w:rPr>
          <w:szCs w:val="24"/>
          <w:lang w:val="lv-LV"/>
        </w:rPr>
        <w:t>.</w:t>
      </w:r>
    </w:p>
    <w:p w14:paraId="0CAED2DD" w14:textId="1185D4C1" w:rsidR="008E12BC" w:rsidRDefault="008E12BC" w:rsidP="008E12BC">
      <w:pPr>
        <w:tabs>
          <w:tab w:val="clear" w:pos="567"/>
        </w:tabs>
        <w:spacing w:line="240" w:lineRule="auto"/>
        <w:rPr>
          <w:szCs w:val="24"/>
          <w:lang w:val="lv-LV"/>
        </w:rPr>
      </w:pPr>
      <w:r>
        <w:rPr>
          <w:szCs w:val="24"/>
          <w:lang w:val="lv-LV"/>
        </w:rPr>
        <w:t xml:space="preserve">1 flakons (50 ml) kartona </w:t>
      </w:r>
      <w:r w:rsidR="0013205A">
        <w:rPr>
          <w:szCs w:val="24"/>
          <w:lang w:val="lv-LV"/>
        </w:rPr>
        <w:t>kastē</w:t>
      </w:r>
      <w:r>
        <w:rPr>
          <w:szCs w:val="24"/>
          <w:lang w:val="lv-LV"/>
        </w:rPr>
        <w:t>.</w:t>
      </w:r>
    </w:p>
    <w:p w14:paraId="67D0E7FA" w14:textId="77777777" w:rsidR="00C26E44" w:rsidRDefault="00C26E44" w:rsidP="008E12BC">
      <w:pPr>
        <w:tabs>
          <w:tab w:val="clear" w:pos="567"/>
        </w:tabs>
        <w:spacing w:line="240" w:lineRule="auto"/>
        <w:rPr>
          <w:szCs w:val="24"/>
          <w:lang w:val="lv-LV"/>
        </w:rPr>
      </w:pPr>
    </w:p>
    <w:p w14:paraId="29DC3158" w14:textId="5B9B1712" w:rsidR="008E12BC" w:rsidRDefault="008E12BC" w:rsidP="008E12BC">
      <w:pPr>
        <w:tabs>
          <w:tab w:val="clear" w:pos="567"/>
        </w:tabs>
        <w:spacing w:line="240" w:lineRule="auto"/>
        <w:rPr>
          <w:szCs w:val="24"/>
          <w:lang w:val="lv-LV"/>
        </w:rPr>
      </w:pPr>
      <w:r>
        <w:rPr>
          <w:szCs w:val="24"/>
          <w:lang w:val="lv-LV"/>
        </w:rPr>
        <w:t>Ne visi iepakojuma izmēri var tikt izplatīti.</w:t>
      </w:r>
    </w:p>
    <w:p w14:paraId="7F5DB443" w14:textId="77777777" w:rsidR="008E12BC" w:rsidRDefault="008E12BC" w:rsidP="008E12BC">
      <w:pPr>
        <w:tabs>
          <w:tab w:val="clear" w:pos="567"/>
        </w:tabs>
        <w:spacing w:line="240" w:lineRule="auto"/>
        <w:rPr>
          <w:lang w:val="lv-LV"/>
        </w:rPr>
      </w:pPr>
    </w:p>
    <w:p w14:paraId="48D9707D" w14:textId="77777777" w:rsidR="008E12BC" w:rsidRDefault="008E12BC" w:rsidP="008E12BC">
      <w:pPr>
        <w:tabs>
          <w:tab w:val="clear" w:pos="567"/>
        </w:tabs>
        <w:spacing w:line="240" w:lineRule="auto"/>
        <w:rPr>
          <w:lang w:val="lv-LV"/>
        </w:rPr>
      </w:pPr>
      <w:r>
        <w:rPr>
          <w:lang w:val="lv-LV"/>
        </w:rPr>
        <w:t>Recepšu veterinārās zāles.</w:t>
      </w:r>
    </w:p>
    <w:p w14:paraId="05608B7B" w14:textId="77777777" w:rsidR="00605659" w:rsidRDefault="00605659"/>
    <w:sectPr w:rsidR="00605659" w:rsidSect="00A54CFA">
      <w:footerReference w:type="default" r:id="rId8"/>
      <w:pgSz w:w="11906" w:h="16838"/>
      <w:pgMar w:top="1134" w:right="1274" w:bottom="1134" w:left="1418" w:header="72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C31AE" w14:textId="77777777" w:rsidR="0017064A" w:rsidRDefault="0017064A">
      <w:pPr>
        <w:spacing w:line="240" w:lineRule="auto"/>
      </w:pPr>
      <w:r>
        <w:separator/>
      </w:r>
    </w:p>
  </w:endnote>
  <w:endnote w:type="continuationSeparator" w:id="0">
    <w:p w14:paraId="61E98730" w14:textId="77777777" w:rsidR="0017064A" w:rsidRDefault="0017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1465" w14:textId="77777777" w:rsidR="000F1AEF" w:rsidRDefault="008E12BC">
    <w:pPr>
      <w:pStyle w:val="Footer"/>
      <w:tabs>
        <w:tab w:val="clear" w:pos="8930"/>
        <w:tab w:val="right" w:pos="8931"/>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60313F">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B6D42" w14:textId="77777777" w:rsidR="0017064A" w:rsidRDefault="0017064A">
      <w:pPr>
        <w:spacing w:line="240" w:lineRule="auto"/>
      </w:pPr>
      <w:r>
        <w:separator/>
      </w:r>
    </w:p>
  </w:footnote>
  <w:footnote w:type="continuationSeparator" w:id="0">
    <w:p w14:paraId="700E2588" w14:textId="77777777" w:rsidR="0017064A" w:rsidRDefault="001706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name w:val="WW8Num6"/>
    <w:lvl w:ilvl="0">
      <w:start w:val="4"/>
      <w:numFmt w:val="bullet"/>
      <w:lvlText w:val="-"/>
      <w:lvlJc w:val="left"/>
      <w:pPr>
        <w:tabs>
          <w:tab w:val="num" w:pos="0"/>
        </w:tabs>
        <w:ind w:left="930" w:hanging="360"/>
      </w:pPr>
      <w:rPr>
        <w:rFonts w:ascii="Times New Roman" w:hAnsi="Times New Roman" w:cs="Times New Roman"/>
        <w:b/>
        <w:i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BC"/>
    <w:rsid w:val="0013205A"/>
    <w:rsid w:val="001324A1"/>
    <w:rsid w:val="0017064A"/>
    <w:rsid w:val="00283D77"/>
    <w:rsid w:val="00354FEA"/>
    <w:rsid w:val="00413B57"/>
    <w:rsid w:val="0048092C"/>
    <w:rsid w:val="0060313F"/>
    <w:rsid w:val="00605659"/>
    <w:rsid w:val="006122E7"/>
    <w:rsid w:val="00683319"/>
    <w:rsid w:val="008449A7"/>
    <w:rsid w:val="008E12BC"/>
    <w:rsid w:val="009524CD"/>
    <w:rsid w:val="00975D46"/>
    <w:rsid w:val="009779F3"/>
    <w:rsid w:val="009A5F71"/>
    <w:rsid w:val="009E386A"/>
    <w:rsid w:val="00A54CFA"/>
    <w:rsid w:val="00A72DBA"/>
    <w:rsid w:val="00B47A0C"/>
    <w:rsid w:val="00C26E44"/>
    <w:rsid w:val="00C92B17"/>
    <w:rsid w:val="00EA5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BC"/>
    <w:pPr>
      <w:tabs>
        <w:tab w:val="left" w:pos="567"/>
      </w:tabs>
      <w:suppressAutoHyphens/>
      <w:spacing w:after="0" w:line="260" w:lineRule="exact"/>
    </w:pPr>
    <w:rPr>
      <w:rFonts w:ascii="Times New Roman" w:eastAsia="Times New Roman" w:hAnsi="Times New Roman" w:cs="Times New Roman"/>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12BC"/>
    <w:pPr>
      <w:tabs>
        <w:tab w:val="clear" w:pos="567"/>
        <w:tab w:val="center" w:pos="4536"/>
        <w:tab w:val="center" w:pos="8930"/>
      </w:tabs>
      <w:spacing w:line="240" w:lineRule="auto"/>
    </w:pPr>
  </w:style>
  <w:style w:type="character" w:customStyle="1" w:styleId="FooterChar">
    <w:name w:val="Footer Char"/>
    <w:basedOn w:val="DefaultParagraphFont"/>
    <w:link w:val="Footer"/>
    <w:rsid w:val="008E12BC"/>
    <w:rPr>
      <w:rFonts w:ascii="Times New Roman" w:eastAsia="Times New Roman" w:hAnsi="Times New Roman" w:cs="Times New Roman"/>
      <w:szCs w:val="20"/>
      <w:lang w:val="en-GB" w:eastAsia="ar-SA"/>
    </w:rPr>
  </w:style>
  <w:style w:type="paragraph" w:customStyle="1" w:styleId="ListParagraph1">
    <w:name w:val="List Paragraph1"/>
    <w:basedOn w:val="Normal"/>
    <w:rsid w:val="008E12BC"/>
    <w:pPr>
      <w:tabs>
        <w:tab w:val="clear" w:pos="567"/>
      </w:tabs>
      <w:spacing w:line="240" w:lineRule="auto"/>
      <w:ind w:left="720"/>
    </w:pPr>
    <w:rPr>
      <w:rFonts w:ascii="Arial" w:hAnsi="Arial" w:cs="Arial"/>
      <w:szCs w:val="24"/>
      <w:lang w:val="de-DE"/>
    </w:rPr>
  </w:style>
  <w:style w:type="paragraph" w:styleId="BalloonText">
    <w:name w:val="Balloon Text"/>
    <w:basedOn w:val="Normal"/>
    <w:link w:val="BalloonTextChar"/>
    <w:uiPriority w:val="99"/>
    <w:semiHidden/>
    <w:unhideWhenUsed/>
    <w:rsid w:val="00B47A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0C"/>
    <w:rPr>
      <w:rFonts w:ascii="Segoe UI" w:eastAsia="Times New Roman" w:hAnsi="Segoe UI" w:cs="Segoe UI"/>
      <w:sz w:val="18"/>
      <w:szCs w:val="18"/>
      <w:lang w:val="en-GB" w:eastAsia="ar-SA"/>
    </w:rPr>
  </w:style>
  <w:style w:type="character" w:styleId="CommentReference">
    <w:name w:val="annotation reference"/>
    <w:basedOn w:val="DefaultParagraphFont"/>
    <w:uiPriority w:val="99"/>
    <w:semiHidden/>
    <w:unhideWhenUsed/>
    <w:rsid w:val="009E386A"/>
    <w:rPr>
      <w:sz w:val="16"/>
      <w:szCs w:val="16"/>
    </w:rPr>
  </w:style>
  <w:style w:type="paragraph" w:styleId="CommentText">
    <w:name w:val="annotation text"/>
    <w:basedOn w:val="Normal"/>
    <w:link w:val="CommentTextChar"/>
    <w:uiPriority w:val="99"/>
    <w:semiHidden/>
    <w:unhideWhenUsed/>
    <w:rsid w:val="009E386A"/>
    <w:pPr>
      <w:spacing w:line="240" w:lineRule="auto"/>
    </w:pPr>
    <w:rPr>
      <w:sz w:val="20"/>
    </w:rPr>
  </w:style>
  <w:style w:type="character" w:customStyle="1" w:styleId="CommentTextChar">
    <w:name w:val="Comment Text Char"/>
    <w:basedOn w:val="DefaultParagraphFont"/>
    <w:link w:val="CommentText"/>
    <w:uiPriority w:val="99"/>
    <w:semiHidden/>
    <w:rsid w:val="009E386A"/>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9E386A"/>
    <w:rPr>
      <w:b/>
      <w:bCs/>
    </w:rPr>
  </w:style>
  <w:style w:type="character" w:customStyle="1" w:styleId="CommentSubjectChar">
    <w:name w:val="Comment Subject Char"/>
    <w:basedOn w:val="CommentTextChar"/>
    <w:link w:val="CommentSubject"/>
    <w:uiPriority w:val="99"/>
    <w:semiHidden/>
    <w:rsid w:val="009E386A"/>
    <w:rPr>
      <w:rFonts w:ascii="Times New Roman" w:eastAsia="Times New Roman" w:hAnsi="Times New Roman" w:cs="Times New Roman"/>
      <w:b/>
      <w:bCs/>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BC"/>
    <w:pPr>
      <w:tabs>
        <w:tab w:val="left" w:pos="567"/>
      </w:tabs>
      <w:suppressAutoHyphens/>
      <w:spacing w:after="0" w:line="260" w:lineRule="exact"/>
    </w:pPr>
    <w:rPr>
      <w:rFonts w:ascii="Times New Roman" w:eastAsia="Times New Roman" w:hAnsi="Times New Roman" w:cs="Times New Roman"/>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12BC"/>
    <w:pPr>
      <w:tabs>
        <w:tab w:val="clear" w:pos="567"/>
        <w:tab w:val="center" w:pos="4536"/>
        <w:tab w:val="center" w:pos="8930"/>
      </w:tabs>
      <w:spacing w:line="240" w:lineRule="auto"/>
    </w:pPr>
  </w:style>
  <w:style w:type="character" w:customStyle="1" w:styleId="FooterChar">
    <w:name w:val="Footer Char"/>
    <w:basedOn w:val="DefaultParagraphFont"/>
    <w:link w:val="Footer"/>
    <w:rsid w:val="008E12BC"/>
    <w:rPr>
      <w:rFonts w:ascii="Times New Roman" w:eastAsia="Times New Roman" w:hAnsi="Times New Roman" w:cs="Times New Roman"/>
      <w:szCs w:val="20"/>
      <w:lang w:val="en-GB" w:eastAsia="ar-SA"/>
    </w:rPr>
  </w:style>
  <w:style w:type="paragraph" w:customStyle="1" w:styleId="ListParagraph1">
    <w:name w:val="List Paragraph1"/>
    <w:basedOn w:val="Normal"/>
    <w:rsid w:val="008E12BC"/>
    <w:pPr>
      <w:tabs>
        <w:tab w:val="clear" w:pos="567"/>
      </w:tabs>
      <w:spacing w:line="240" w:lineRule="auto"/>
      <w:ind w:left="720"/>
    </w:pPr>
    <w:rPr>
      <w:rFonts w:ascii="Arial" w:hAnsi="Arial" w:cs="Arial"/>
      <w:szCs w:val="24"/>
      <w:lang w:val="de-DE"/>
    </w:rPr>
  </w:style>
  <w:style w:type="paragraph" w:styleId="BalloonText">
    <w:name w:val="Balloon Text"/>
    <w:basedOn w:val="Normal"/>
    <w:link w:val="BalloonTextChar"/>
    <w:uiPriority w:val="99"/>
    <w:semiHidden/>
    <w:unhideWhenUsed/>
    <w:rsid w:val="00B47A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0C"/>
    <w:rPr>
      <w:rFonts w:ascii="Segoe UI" w:eastAsia="Times New Roman" w:hAnsi="Segoe UI" w:cs="Segoe UI"/>
      <w:sz w:val="18"/>
      <w:szCs w:val="18"/>
      <w:lang w:val="en-GB" w:eastAsia="ar-SA"/>
    </w:rPr>
  </w:style>
  <w:style w:type="character" w:styleId="CommentReference">
    <w:name w:val="annotation reference"/>
    <w:basedOn w:val="DefaultParagraphFont"/>
    <w:uiPriority w:val="99"/>
    <w:semiHidden/>
    <w:unhideWhenUsed/>
    <w:rsid w:val="009E386A"/>
    <w:rPr>
      <w:sz w:val="16"/>
      <w:szCs w:val="16"/>
    </w:rPr>
  </w:style>
  <w:style w:type="paragraph" w:styleId="CommentText">
    <w:name w:val="annotation text"/>
    <w:basedOn w:val="Normal"/>
    <w:link w:val="CommentTextChar"/>
    <w:uiPriority w:val="99"/>
    <w:semiHidden/>
    <w:unhideWhenUsed/>
    <w:rsid w:val="009E386A"/>
    <w:pPr>
      <w:spacing w:line="240" w:lineRule="auto"/>
    </w:pPr>
    <w:rPr>
      <w:sz w:val="20"/>
    </w:rPr>
  </w:style>
  <w:style w:type="character" w:customStyle="1" w:styleId="CommentTextChar">
    <w:name w:val="Comment Text Char"/>
    <w:basedOn w:val="DefaultParagraphFont"/>
    <w:link w:val="CommentText"/>
    <w:uiPriority w:val="99"/>
    <w:semiHidden/>
    <w:rsid w:val="009E386A"/>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9E386A"/>
    <w:rPr>
      <w:b/>
      <w:bCs/>
    </w:rPr>
  </w:style>
  <w:style w:type="character" w:customStyle="1" w:styleId="CommentSubjectChar">
    <w:name w:val="Comment Subject Char"/>
    <w:basedOn w:val="CommentTextChar"/>
    <w:link w:val="CommentSubject"/>
    <w:uiPriority w:val="99"/>
    <w:semiHidden/>
    <w:rsid w:val="009E386A"/>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5588</Words>
  <Characters>3186</Characters>
  <Application>Microsoft Office Word</Application>
  <DocSecurity>0</DocSecurity>
  <Lines>26</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Evelina</cp:lastModifiedBy>
  <cp:revision>2</cp:revision>
  <dcterms:created xsi:type="dcterms:W3CDTF">2023-12-01T08:47:00Z</dcterms:created>
  <dcterms:modified xsi:type="dcterms:W3CDTF">2023-12-01T08:47:00Z</dcterms:modified>
</cp:coreProperties>
</file>