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AB276" w14:textId="77777777" w:rsidR="00A01D5A" w:rsidRDefault="00A01D5A" w:rsidP="00A01D5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Cs w:val="22"/>
          <w:lang w:val="nb-NO"/>
        </w:rPr>
      </w:pPr>
      <w:bookmarkStart w:id="0" w:name="_GoBack"/>
      <w:bookmarkEnd w:id="0"/>
    </w:p>
    <w:p w14:paraId="5E0D03E0" w14:textId="77777777" w:rsidR="00A01D5A" w:rsidRPr="00A01D5A" w:rsidRDefault="00A01D5A" w:rsidP="00A01D5A">
      <w:pPr>
        <w:tabs>
          <w:tab w:val="left" w:pos="567"/>
        </w:tabs>
        <w:jc w:val="center"/>
        <w:rPr>
          <w:rFonts w:ascii="Times New Roman" w:hAnsi="Times New Roman" w:cs="Times New Roman"/>
          <w:szCs w:val="22"/>
          <w:lang w:val="nb-NO"/>
        </w:rPr>
      </w:pPr>
      <w:r w:rsidRPr="00A01D5A">
        <w:rPr>
          <w:rFonts w:ascii="Times New Roman" w:hAnsi="Times New Roman" w:cs="Times New Roman"/>
          <w:b/>
          <w:bCs/>
          <w:szCs w:val="22"/>
          <w:lang w:val="nb-NO"/>
        </w:rPr>
        <w:t>LIETOŠANAS INSTRUKCIJA</w:t>
      </w:r>
    </w:p>
    <w:p w14:paraId="345A8C42" w14:textId="77777777" w:rsidR="00A01D5A" w:rsidRDefault="00A01D5A" w:rsidP="00A01D5A">
      <w:pPr>
        <w:tabs>
          <w:tab w:val="right" w:pos="6006"/>
        </w:tabs>
        <w:jc w:val="center"/>
        <w:rPr>
          <w:rFonts w:ascii="Times New Roman" w:hAnsi="Times New Roman" w:cs="Times New Roman"/>
          <w:b/>
          <w:bCs/>
          <w:szCs w:val="22"/>
          <w:lang w:val="fr-FR"/>
        </w:rPr>
      </w:pPr>
      <w:r>
        <w:rPr>
          <w:rFonts w:ascii="Times New Roman" w:hAnsi="Times New Roman" w:cs="Times New Roman"/>
          <w:b/>
          <w:szCs w:val="22"/>
          <w:lang w:val="fr-FR"/>
        </w:rPr>
        <w:t>V/NRP/99/1035</w:t>
      </w:r>
    </w:p>
    <w:p w14:paraId="10C383CA" w14:textId="77777777" w:rsidR="00A01D5A" w:rsidRDefault="00A01D5A" w:rsidP="00A01D5A">
      <w:pPr>
        <w:tabs>
          <w:tab w:val="right" w:pos="6006"/>
        </w:tabs>
        <w:jc w:val="center"/>
        <w:rPr>
          <w:rFonts w:ascii="Times New Roman" w:hAnsi="Times New Roman" w:cs="Times New Roman"/>
          <w:szCs w:val="22"/>
          <w:lang w:val="fr-FR"/>
        </w:rPr>
      </w:pPr>
    </w:p>
    <w:p w14:paraId="37A39E9F" w14:textId="77777777" w:rsidR="00A01D5A" w:rsidRPr="00DA5A6B" w:rsidRDefault="00A01D5A" w:rsidP="00154622">
      <w:pPr>
        <w:tabs>
          <w:tab w:val="right" w:pos="6006"/>
        </w:tabs>
        <w:jc w:val="center"/>
        <w:rPr>
          <w:rFonts w:ascii="Times New Roman" w:hAnsi="Times New Roman" w:cs="Times New Roman"/>
          <w:b/>
          <w:szCs w:val="22"/>
          <w:lang w:val="lv-LV"/>
        </w:rPr>
      </w:pPr>
      <w:r w:rsidRPr="00DA5A6B">
        <w:rPr>
          <w:rFonts w:ascii="Times New Roman" w:hAnsi="Times New Roman" w:cs="Times New Roman"/>
          <w:b/>
          <w:bCs/>
          <w:szCs w:val="22"/>
          <w:lang w:val="lv-LV"/>
        </w:rPr>
        <w:t>Veyxyl</w:t>
      </w:r>
      <w:r w:rsidR="00EE32D6" w:rsidRPr="00DA5A6B">
        <w:rPr>
          <w:rFonts w:ascii="Times New Roman" w:hAnsi="Times New Roman" w:cs="Times New Roman"/>
          <w:b/>
          <w:bCs/>
          <w:szCs w:val="22"/>
          <w:lang w:val="lv-LV"/>
        </w:rPr>
        <w:t xml:space="preserve"> </w:t>
      </w:r>
      <w:r w:rsidRPr="00DA5A6B">
        <w:rPr>
          <w:rFonts w:ascii="Times New Roman" w:hAnsi="Times New Roman" w:cs="Times New Roman"/>
          <w:b/>
          <w:bCs/>
          <w:szCs w:val="22"/>
          <w:lang w:val="lv-LV"/>
        </w:rPr>
        <w:t>LA 20%</w:t>
      </w:r>
      <w:r w:rsidR="00EE32D6" w:rsidRPr="00DA5A6B">
        <w:rPr>
          <w:rFonts w:ascii="Times New Roman" w:hAnsi="Times New Roman" w:cs="Times New Roman"/>
          <w:szCs w:val="22"/>
          <w:lang w:val="lv-LV"/>
        </w:rPr>
        <w:t xml:space="preserve"> </w:t>
      </w:r>
      <w:r w:rsidRPr="00DA5A6B">
        <w:rPr>
          <w:rFonts w:ascii="Times New Roman" w:hAnsi="Times New Roman" w:cs="Times New Roman"/>
          <w:b/>
          <w:szCs w:val="22"/>
          <w:lang w:val="lv-LV"/>
        </w:rPr>
        <w:t>200 mg/ml suspensija injekcijām</w:t>
      </w:r>
      <w:r w:rsidR="00EE32D6" w:rsidRPr="00DA5A6B">
        <w:rPr>
          <w:rFonts w:ascii="Times New Roman" w:hAnsi="Times New Roman" w:cs="Times New Roman"/>
          <w:b/>
          <w:szCs w:val="22"/>
          <w:lang w:val="lv-LV"/>
        </w:rPr>
        <w:t xml:space="preserve"> </w:t>
      </w:r>
      <w:r w:rsidRPr="00DA5A6B">
        <w:rPr>
          <w:rFonts w:ascii="Times New Roman" w:hAnsi="Times New Roman" w:cs="Times New Roman"/>
          <w:b/>
          <w:szCs w:val="22"/>
          <w:lang w:val="lv-LV"/>
        </w:rPr>
        <w:t>liellopiem, cūkām, aitām, suņiem un kaķiem</w:t>
      </w:r>
    </w:p>
    <w:p w14:paraId="1B09031E" w14:textId="77777777" w:rsidR="00A01D5A" w:rsidRPr="00DA5A6B" w:rsidRDefault="00A01D5A" w:rsidP="00A01D5A">
      <w:pPr>
        <w:tabs>
          <w:tab w:val="left" w:pos="567"/>
        </w:tabs>
        <w:ind w:left="26"/>
        <w:rPr>
          <w:rFonts w:ascii="Times New Roman" w:hAnsi="Times New Roman" w:cs="Times New Roman"/>
          <w:szCs w:val="22"/>
          <w:lang w:val="lv-LV"/>
        </w:rPr>
      </w:pPr>
    </w:p>
    <w:p w14:paraId="43C96912" w14:textId="77777777" w:rsidR="00A01D5A" w:rsidRDefault="00A01D5A" w:rsidP="00A01D5A">
      <w:pPr>
        <w:numPr>
          <w:ilvl w:val="0"/>
          <w:numId w:val="2"/>
        </w:numPr>
        <w:tabs>
          <w:tab w:val="left" w:pos="572"/>
        </w:tabs>
        <w:rPr>
          <w:rFonts w:ascii="Times New Roman" w:hAnsi="Times New Roman" w:cs="Times New Roman"/>
          <w:b/>
          <w:bCs/>
          <w:szCs w:val="22"/>
          <w:lang w:val="fr-FR"/>
        </w:rPr>
      </w:pPr>
      <w:r>
        <w:rPr>
          <w:rFonts w:ascii="Times New Roman" w:hAnsi="Times New Roman" w:cs="Times New Roman"/>
          <w:b/>
          <w:bCs/>
          <w:szCs w:val="22"/>
          <w:lang w:val="fr-FR"/>
        </w:rPr>
        <w:t>REĢISTRĀCIJAS APLIECĪBAS ĪPAŠNIEKA UN RAŽOŠANAS LICENCES TURĒTĀJA, KURŠ ATBILD PAR SĒRIJAS IZLAIDI, NOSAUKUMS UN ADRESE, JA DAŽĀDI</w:t>
      </w:r>
    </w:p>
    <w:p w14:paraId="20D0A2D8" w14:textId="77777777" w:rsidR="00A01D5A" w:rsidRDefault="00A01D5A" w:rsidP="00A01D5A">
      <w:pPr>
        <w:rPr>
          <w:color w:val="000000"/>
          <w:szCs w:val="22"/>
          <w:lang w:val="lv-LV"/>
        </w:rPr>
      </w:pPr>
    </w:p>
    <w:p w14:paraId="7F0400FF" w14:textId="77777777" w:rsidR="00A01D5A" w:rsidRDefault="00A01D5A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color w:val="000000"/>
          <w:szCs w:val="22"/>
          <w:u w:val="single"/>
          <w:lang w:val="lv-LV"/>
        </w:rPr>
        <w:t xml:space="preserve">Reģistrācijas apliecības </w:t>
      </w:r>
      <w:r w:rsidR="004A51AF">
        <w:rPr>
          <w:rFonts w:ascii="Times New Roman" w:hAnsi="Times New Roman" w:cs="Times New Roman"/>
          <w:color w:val="000000"/>
          <w:szCs w:val="20"/>
          <w:u w:val="single"/>
          <w:lang w:val="lv-LV" w:eastAsia="en-US"/>
        </w:rPr>
        <w:t xml:space="preserve">īpašnieks </w:t>
      </w:r>
      <w:r w:rsidR="004A51AF" w:rsidRPr="004A51AF">
        <w:rPr>
          <w:rFonts w:ascii="Times New Roman" w:hAnsi="Times New Roman" w:cs="Times New Roman"/>
          <w:color w:val="000000"/>
          <w:szCs w:val="20"/>
          <w:u w:val="single"/>
          <w:lang w:val="lv-LV" w:eastAsia="en-US"/>
        </w:rPr>
        <w:t>un par sērijas izlaidi atbildīgais ražotājs</w:t>
      </w:r>
      <w:r w:rsidR="004A51AF">
        <w:rPr>
          <w:rFonts w:ascii="Times New Roman" w:hAnsi="Times New Roman" w:cs="Times New Roman"/>
          <w:color w:val="000000"/>
          <w:szCs w:val="20"/>
          <w:u w:val="single"/>
          <w:lang w:val="lv-LV" w:eastAsia="en-US"/>
        </w:rPr>
        <w:t>:</w:t>
      </w:r>
    </w:p>
    <w:p w14:paraId="57A7303F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Veyx-Pharma GmbH</w:t>
      </w:r>
    </w:p>
    <w:p w14:paraId="43F2B33C" w14:textId="77777777" w:rsidR="00A01D5A" w:rsidRDefault="00A01D5A" w:rsidP="00A01D5A">
      <w:pPr>
        <w:pStyle w:val="BodyText"/>
        <w:tabs>
          <w:tab w:val="left" w:pos="572"/>
        </w:tabs>
        <w:rPr>
          <w:rFonts w:ascii="Times New Roman" w:hAnsi="Times New Roman"/>
          <w:szCs w:val="22"/>
          <w:lang w:val="lv-LV"/>
        </w:rPr>
      </w:pPr>
      <w:r>
        <w:rPr>
          <w:rFonts w:ascii="Times New Roman" w:hAnsi="Times New Roman"/>
          <w:szCs w:val="22"/>
          <w:lang w:val="lv-LV"/>
        </w:rPr>
        <w:t>Söhreweg 6</w:t>
      </w:r>
    </w:p>
    <w:p w14:paraId="50D2D02D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34639 Schwarzenborn</w:t>
      </w:r>
    </w:p>
    <w:p w14:paraId="42891DD9" w14:textId="77777777" w:rsidR="00A01D5A" w:rsidRDefault="00A01D5A" w:rsidP="00A01D5A">
      <w:pPr>
        <w:ind w:right="-318"/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color w:val="000000"/>
          <w:szCs w:val="22"/>
          <w:lang w:val="lv-LV"/>
        </w:rPr>
        <w:t>Vācija</w:t>
      </w:r>
    </w:p>
    <w:p w14:paraId="214ADCF5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fr-FR"/>
        </w:rPr>
      </w:pPr>
    </w:p>
    <w:p w14:paraId="500B75A6" w14:textId="77777777" w:rsidR="007178CF" w:rsidRDefault="007178CF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fr-FR"/>
        </w:rPr>
      </w:pPr>
    </w:p>
    <w:p w14:paraId="62AD488E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fr-FR"/>
        </w:rPr>
      </w:pPr>
      <w:r>
        <w:rPr>
          <w:rFonts w:ascii="Times New Roman" w:hAnsi="Times New Roman" w:cs="Times New Roman"/>
          <w:b/>
          <w:caps/>
          <w:szCs w:val="22"/>
          <w:lang w:val="fr-FR"/>
        </w:rPr>
        <w:t>2.  VETERINĀRO ZĀĻU NOSAUKUMS</w:t>
      </w:r>
    </w:p>
    <w:p w14:paraId="2CC554F7" w14:textId="77777777" w:rsidR="00A01D5A" w:rsidRDefault="00A01D5A" w:rsidP="00A01D5A">
      <w:pPr>
        <w:tabs>
          <w:tab w:val="right" w:pos="6006"/>
        </w:tabs>
        <w:rPr>
          <w:rFonts w:ascii="Times New Roman" w:hAnsi="Times New Roman" w:cs="Times New Roman"/>
          <w:b/>
          <w:bCs/>
          <w:szCs w:val="22"/>
          <w:lang w:val="fr-FR"/>
        </w:rPr>
      </w:pPr>
    </w:p>
    <w:p w14:paraId="2959585B" w14:textId="77777777" w:rsidR="00A01D5A" w:rsidRPr="00DA5A6B" w:rsidRDefault="00A01D5A" w:rsidP="00154622">
      <w:pPr>
        <w:tabs>
          <w:tab w:val="right" w:pos="6006"/>
        </w:tabs>
        <w:rPr>
          <w:rFonts w:ascii="Times New Roman" w:hAnsi="Times New Roman" w:cs="Times New Roman"/>
          <w:szCs w:val="22"/>
          <w:lang w:val="lv-LV"/>
        </w:rPr>
      </w:pPr>
      <w:r w:rsidRPr="00DA5A6B">
        <w:rPr>
          <w:rFonts w:ascii="Times New Roman" w:hAnsi="Times New Roman" w:cs="Times New Roman"/>
          <w:b/>
          <w:bCs/>
          <w:szCs w:val="22"/>
          <w:lang w:val="lv-LV"/>
        </w:rPr>
        <w:t>Veyxyl LA 20%</w:t>
      </w:r>
      <w:r w:rsidR="004A51AF" w:rsidRPr="00DA5A6B">
        <w:rPr>
          <w:rFonts w:ascii="Times New Roman" w:hAnsi="Times New Roman" w:cs="Times New Roman"/>
          <w:szCs w:val="22"/>
          <w:lang w:val="lv-LV"/>
        </w:rPr>
        <w:t xml:space="preserve"> </w:t>
      </w:r>
      <w:r w:rsidRPr="00DA5A6B">
        <w:rPr>
          <w:rFonts w:ascii="Times New Roman" w:hAnsi="Times New Roman" w:cs="Times New Roman"/>
          <w:szCs w:val="22"/>
          <w:lang w:val="lv-LV"/>
        </w:rPr>
        <w:t>200 mg/ml suspensija liellopiem, cūkām, aitām, suņiem un kaķiem</w:t>
      </w:r>
    </w:p>
    <w:p w14:paraId="639F5F9E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i/>
          <w:iCs/>
          <w:szCs w:val="22"/>
          <w:lang w:val="fr-FR"/>
        </w:rPr>
      </w:pPr>
      <w:r>
        <w:rPr>
          <w:rFonts w:ascii="Times New Roman" w:hAnsi="Times New Roman" w:cs="Times New Roman"/>
          <w:i/>
          <w:iCs/>
          <w:szCs w:val="22"/>
          <w:lang w:val="fr-FR"/>
        </w:rPr>
        <w:t>Amoxicillin trihydrate</w:t>
      </w:r>
    </w:p>
    <w:p w14:paraId="742411F4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fr-FR"/>
        </w:rPr>
      </w:pPr>
    </w:p>
    <w:p w14:paraId="26D1AA83" w14:textId="77777777" w:rsidR="007178CF" w:rsidRDefault="007178CF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fr-FR"/>
        </w:rPr>
      </w:pPr>
    </w:p>
    <w:p w14:paraId="54873A95" w14:textId="77777777" w:rsidR="00A01D5A" w:rsidRDefault="00A01D5A" w:rsidP="00A01D5A">
      <w:pPr>
        <w:tabs>
          <w:tab w:val="left" w:pos="572"/>
          <w:tab w:val="left" w:pos="598"/>
          <w:tab w:val="left" w:pos="2268"/>
        </w:tabs>
        <w:jc w:val="both"/>
        <w:rPr>
          <w:rFonts w:ascii="Times New Roman" w:hAnsi="Times New Roman" w:cs="Times New Roman"/>
          <w:b/>
          <w:bCs/>
          <w:szCs w:val="22"/>
          <w:lang w:val="fr-FR"/>
        </w:rPr>
      </w:pPr>
      <w:r>
        <w:rPr>
          <w:rFonts w:ascii="Times New Roman" w:hAnsi="Times New Roman" w:cs="Times New Roman"/>
          <w:b/>
          <w:bCs/>
          <w:szCs w:val="22"/>
          <w:lang w:val="fr-FR"/>
        </w:rPr>
        <w:t xml:space="preserve">3.  </w:t>
      </w:r>
      <w:r w:rsidR="004A51AF" w:rsidRPr="00154622">
        <w:rPr>
          <w:rFonts w:ascii="Times New Roman" w:hAnsi="Times New Roman" w:cs="Times New Roman"/>
          <w:b/>
          <w:caps/>
          <w:szCs w:val="22"/>
          <w:lang w:val="fr-FR"/>
        </w:rPr>
        <w:t>AKTĪVO VIELU UN CITU VIELU NOSAUKUMS</w:t>
      </w:r>
    </w:p>
    <w:p w14:paraId="62DF3B8C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lv-LV"/>
        </w:rPr>
      </w:pPr>
    </w:p>
    <w:p w14:paraId="28FC4666" w14:textId="77777777" w:rsidR="00A01D5A" w:rsidRDefault="00A01D5A" w:rsidP="00A01D5A">
      <w:pPr>
        <w:tabs>
          <w:tab w:val="left" w:pos="567"/>
          <w:tab w:val="left" w:pos="2268"/>
          <w:tab w:val="left" w:pos="5103"/>
          <w:tab w:val="left" w:pos="5387"/>
        </w:tabs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1 ml suspensijas satur:</w:t>
      </w:r>
    </w:p>
    <w:p w14:paraId="7125770A" w14:textId="77777777" w:rsidR="00A01D5A" w:rsidRDefault="00A01D5A" w:rsidP="00A01D5A">
      <w:pPr>
        <w:tabs>
          <w:tab w:val="left" w:pos="567"/>
          <w:tab w:val="left" w:pos="2268"/>
          <w:tab w:val="left" w:pos="5103"/>
          <w:tab w:val="left" w:pos="5387"/>
        </w:tabs>
        <w:rPr>
          <w:rFonts w:ascii="Times New Roman" w:hAnsi="Times New Roman" w:cs="Times New Roman"/>
          <w:szCs w:val="22"/>
          <w:lang w:val="lv-LV"/>
        </w:rPr>
      </w:pPr>
    </w:p>
    <w:p w14:paraId="4554BF7B" w14:textId="77777777" w:rsidR="00A01D5A" w:rsidRDefault="00A01D5A" w:rsidP="00154622">
      <w:pPr>
        <w:tabs>
          <w:tab w:val="left" w:pos="567"/>
          <w:tab w:val="left" w:pos="3770"/>
          <w:tab w:val="left" w:pos="6240"/>
        </w:tabs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szCs w:val="22"/>
          <w:lang w:val="lv-LV"/>
        </w:rPr>
        <w:t>Aktīvā viela</w:t>
      </w:r>
    </w:p>
    <w:p w14:paraId="5F42AD78" w14:textId="77777777" w:rsidR="00A01D5A" w:rsidRDefault="00A01D5A" w:rsidP="00A01D5A">
      <w:pPr>
        <w:tabs>
          <w:tab w:val="left" w:pos="567"/>
          <w:tab w:val="right" w:pos="5902"/>
          <w:tab w:val="left" w:pos="6032"/>
        </w:tabs>
        <w:jc w:val="both"/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Amoksicilīns</w:t>
      </w:r>
      <w:r w:rsidR="004A51AF">
        <w:rPr>
          <w:rFonts w:ascii="Times New Roman" w:hAnsi="Times New Roman" w:cs="Times New Roman"/>
          <w:szCs w:val="22"/>
          <w:lang w:val="lv-LV"/>
        </w:rPr>
        <w:t xml:space="preserve"> </w:t>
      </w:r>
      <w:r>
        <w:rPr>
          <w:rFonts w:ascii="Times New Roman" w:hAnsi="Times New Roman" w:cs="Times New Roman"/>
          <w:szCs w:val="22"/>
          <w:lang w:val="lv-LV"/>
        </w:rPr>
        <w:t xml:space="preserve">(amoksicilīna trihidrāta </w:t>
      </w:r>
      <w:r w:rsidR="004A51AF">
        <w:rPr>
          <w:rFonts w:ascii="Times New Roman" w:hAnsi="Times New Roman" w:cs="Times New Roman"/>
          <w:szCs w:val="22"/>
          <w:lang w:val="lv-LV"/>
        </w:rPr>
        <w:t>veidā</w:t>
      </w:r>
      <w:r>
        <w:rPr>
          <w:rFonts w:ascii="Times New Roman" w:hAnsi="Times New Roman" w:cs="Times New Roman"/>
          <w:szCs w:val="22"/>
          <w:lang w:val="lv-LV"/>
        </w:rPr>
        <w:t>) 200 mg</w:t>
      </w:r>
    </w:p>
    <w:p w14:paraId="1C05C1FE" w14:textId="77777777" w:rsidR="00A01D5A" w:rsidRDefault="00A01D5A" w:rsidP="00A01D5A">
      <w:pPr>
        <w:tabs>
          <w:tab w:val="left" w:pos="567"/>
          <w:tab w:val="right" w:pos="5902"/>
          <w:tab w:val="left" w:pos="6032"/>
        </w:tabs>
        <w:jc w:val="both"/>
        <w:rPr>
          <w:rFonts w:ascii="Times New Roman" w:hAnsi="Times New Roman" w:cs="Times New Roman"/>
          <w:b/>
          <w:bCs/>
          <w:szCs w:val="22"/>
          <w:lang w:val="lv-LV"/>
        </w:rPr>
      </w:pPr>
    </w:p>
    <w:p w14:paraId="23EFE83E" w14:textId="77777777" w:rsidR="00A01D5A" w:rsidRDefault="00A01D5A" w:rsidP="00A01D5A">
      <w:pPr>
        <w:tabs>
          <w:tab w:val="left" w:pos="567"/>
          <w:tab w:val="right" w:pos="5902"/>
          <w:tab w:val="left" w:pos="6032"/>
        </w:tabs>
        <w:jc w:val="both"/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>Palīgvielas:</w:t>
      </w:r>
    </w:p>
    <w:p w14:paraId="45AD6A7D" w14:textId="77777777" w:rsidR="00A01D5A" w:rsidRDefault="00A01D5A" w:rsidP="00A01D5A">
      <w:pPr>
        <w:pStyle w:val="PlainText"/>
        <w:tabs>
          <w:tab w:val="right" w:pos="4056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Butilhidroksianizols          0</w:t>
      </w:r>
      <w:r w:rsidR="00A04190">
        <w:rPr>
          <w:rFonts w:ascii="Times New Roman" w:hAnsi="Times New Roman"/>
          <w:sz w:val="22"/>
          <w:szCs w:val="22"/>
          <w:lang w:val="lv-LV"/>
        </w:rPr>
        <w:t>,</w:t>
      </w:r>
      <w:r>
        <w:rPr>
          <w:rFonts w:ascii="Times New Roman" w:hAnsi="Times New Roman"/>
          <w:sz w:val="22"/>
          <w:szCs w:val="22"/>
          <w:lang w:val="lv-LV"/>
        </w:rPr>
        <w:t>08 mg</w:t>
      </w:r>
    </w:p>
    <w:p w14:paraId="28DB20B1" w14:textId="77777777" w:rsidR="00A01D5A" w:rsidRDefault="009D60CC" w:rsidP="00A01D5A">
      <w:pPr>
        <w:tabs>
          <w:tab w:val="left" w:pos="567"/>
          <w:tab w:val="left" w:pos="2268"/>
          <w:tab w:val="left" w:pos="5103"/>
          <w:tab w:val="left" w:pos="5387"/>
        </w:tabs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 xml:space="preserve">Butilēts hidroksitoluols          </w:t>
      </w:r>
      <w:r w:rsidR="00A01D5A">
        <w:rPr>
          <w:rFonts w:ascii="Times New Roman" w:hAnsi="Times New Roman" w:cs="Times New Roman"/>
          <w:szCs w:val="22"/>
          <w:lang w:val="lv-LV"/>
        </w:rPr>
        <w:t>0</w:t>
      </w:r>
      <w:r w:rsidR="00A04190">
        <w:rPr>
          <w:rFonts w:ascii="Times New Roman" w:hAnsi="Times New Roman" w:cs="Times New Roman"/>
          <w:szCs w:val="22"/>
          <w:lang w:val="lv-LV"/>
        </w:rPr>
        <w:t>,</w:t>
      </w:r>
      <w:r w:rsidR="00A01D5A">
        <w:rPr>
          <w:rFonts w:ascii="Times New Roman" w:hAnsi="Times New Roman" w:cs="Times New Roman"/>
          <w:szCs w:val="22"/>
          <w:lang w:val="lv-LV"/>
        </w:rPr>
        <w:t>08 mg</w:t>
      </w:r>
    </w:p>
    <w:p w14:paraId="7981F3A0" w14:textId="77777777" w:rsidR="00A01D5A" w:rsidRDefault="00A01D5A" w:rsidP="00A01D5A">
      <w:pPr>
        <w:tabs>
          <w:tab w:val="left" w:pos="567"/>
          <w:tab w:val="left" w:pos="2268"/>
          <w:tab w:val="left" w:pos="5103"/>
          <w:tab w:val="left" w:pos="5387"/>
        </w:tabs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096C2C5A" w14:textId="77777777" w:rsidR="00A01D5A" w:rsidRDefault="00A01D5A" w:rsidP="00A01D5A">
      <w:pPr>
        <w:tabs>
          <w:tab w:val="left" w:pos="572"/>
          <w:tab w:val="left" w:pos="598"/>
          <w:tab w:val="left" w:pos="2268"/>
        </w:tabs>
        <w:jc w:val="both"/>
        <w:rPr>
          <w:rFonts w:ascii="Times New Roman" w:hAnsi="Times New Roman" w:cs="Times New Roman"/>
          <w:bCs/>
          <w:szCs w:val="22"/>
          <w:lang w:val="lv-LV"/>
        </w:rPr>
      </w:pPr>
    </w:p>
    <w:p w14:paraId="15EE297A" w14:textId="77777777" w:rsidR="00A01D5A" w:rsidRDefault="00A01D5A" w:rsidP="00A01D5A">
      <w:pPr>
        <w:tabs>
          <w:tab w:val="left" w:pos="572"/>
          <w:tab w:val="left" w:pos="598"/>
          <w:tab w:val="left" w:pos="2268"/>
        </w:tabs>
        <w:jc w:val="both"/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>4.  INDIKĀCIJA</w:t>
      </w:r>
      <w:r w:rsidR="004A51AF">
        <w:rPr>
          <w:rFonts w:ascii="Times New Roman" w:hAnsi="Times New Roman" w:cs="Times New Roman"/>
          <w:b/>
          <w:bCs/>
          <w:szCs w:val="22"/>
          <w:lang w:val="lv-LV"/>
        </w:rPr>
        <w:t>(-</w:t>
      </w:r>
      <w:r>
        <w:rPr>
          <w:rFonts w:ascii="Times New Roman" w:hAnsi="Times New Roman" w:cs="Times New Roman"/>
          <w:b/>
          <w:bCs/>
          <w:szCs w:val="22"/>
          <w:lang w:val="lv-LV"/>
        </w:rPr>
        <w:t>S</w:t>
      </w:r>
      <w:r w:rsidR="004A51AF">
        <w:rPr>
          <w:rFonts w:ascii="Times New Roman" w:hAnsi="Times New Roman" w:cs="Times New Roman"/>
          <w:b/>
          <w:bCs/>
          <w:szCs w:val="22"/>
          <w:lang w:val="lv-LV"/>
        </w:rPr>
        <w:t>)</w:t>
      </w:r>
    </w:p>
    <w:p w14:paraId="6CB9EA4F" w14:textId="77777777" w:rsidR="00A01D5A" w:rsidRDefault="00A01D5A" w:rsidP="00A01D5A">
      <w:pPr>
        <w:tabs>
          <w:tab w:val="left" w:pos="572"/>
          <w:tab w:val="left" w:pos="598"/>
          <w:tab w:val="left" w:pos="2268"/>
        </w:tabs>
        <w:jc w:val="both"/>
        <w:rPr>
          <w:rFonts w:ascii="Times New Roman" w:hAnsi="Times New Roman" w:cs="Times New Roman"/>
          <w:b/>
          <w:bCs/>
          <w:szCs w:val="22"/>
          <w:lang w:val="lv-LV"/>
        </w:rPr>
      </w:pPr>
    </w:p>
    <w:p w14:paraId="335ED35C" w14:textId="511636BE" w:rsidR="00A01D5A" w:rsidRPr="002131F2" w:rsidRDefault="009D60CC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DA5A6B">
        <w:rPr>
          <w:rFonts w:ascii="Times New Roman" w:hAnsi="Times New Roman" w:cs="Times New Roman"/>
          <w:bCs/>
          <w:iCs/>
          <w:szCs w:val="22"/>
          <w:lang w:val="lv-LV"/>
        </w:rPr>
        <w:t>Liellopiem, cūkām, aitām, suņiem, kaķiem pret</w:t>
      </w:r>
      <w:r w:rsidR="00A01D5A" w:rsidRPr="002531EF">
        <w:rPr>
          <w:rFonts w:ascii="Times New Roman" w:hAnsi="Times New Roman" w:cs="Times New Roman"/>
          <w:szCs w:val="22"/>
          <w:lang w:val="lv-LV"/>
        </w:rPr>
        <w:t xml:space="preserve"> amoksicilīnu jutīgu grampozitīvu un gramnegatīvu baktēriju izraisītu infekciju ārstēšanai, t.sk. plaušu un elpceļu, gremošanas trakta, uroģenitālā trakta infekcijas</w:t>
      </w:r>
      <w:r w:rsidR="00445B38" w:rsidRPr="002531EF">
        <w:rPr>
          <w:rFonts w:ascii="Times New Roman" w:hAnsi="Times New Roman" w:cs="Times New Roman"/>
          <w:szCs w:val="22"/>
          <w:lang w:val="lv-LV"/>
        </w:rPr>
        <w:t xml:space="preserve">, </w:t>
      </w:r>
      <w:r w:rsidR="00A01D5A" w:rsidRPr="002531EF">
        <w:rPr>
          <w:rFonts w:ascii="Times New Roman" w:hAnsi="Times New Roman" w:cs="Times New Roman"/>
          <w:szCs w:val="22"/>
          <w:lang w:val="lv-LV"/>
        </w:rPr>
        <w:t>vispārējas infekcijas un septicēmija; bakteriālas sekundāras infekcijas, ko izraisījušas virālas slimības; sarkanguļa</w:t>
      </w:r>
      <w:r w:rsidR="00B06365" w:rsidRPr="002131F2">
        <w:rPr>
          <w:rFonts w:ascii="Times New Roman" w:hAnsi="Times New Roman" w:cs="Times New Roman"/>
          <w:szCs w:val="22"/>
          <w:lang w:val="lv-LV"/>
        </w:rPr>
        <w:t xml:space="preserve"> cūkām</w:t>
      </w:r>
      <w:r w:rsidR="00A01D5A" w:rsidRPr="002131F2">
        <w:rPr>
          <w:rFonts w:ascii="Times New Roman" w:hAnsi="Times New Roman" w:cs="Times New Roman"/>
          <w:szCs w:val="22"/>
          <w:lang w:val="lv-LV"/>
        </w:rPr>
        <w:t>.</w:t>
      </w:r>
    </w:p>
    <w:p w14:paraId="57DF313C" w14:textId="77777777" w:rsidR="007178CF" w:rsidRDefault="007178CF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lv-LV"/>
        </w:rPr>
      </w:pPr>
    </w:p>
    <w:p w14:paraId="2870A935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szCs w:val="22"/>
          <w:lang w:val="lv-LV"/>
        </w:rPr>
      </w:pPr>
    </w:p>
    <w:p w14:paraId="05182B00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b/>
          <w:szCs w:val="22"/>
          <w:lang w:val="lv-LV"/>
        </w:rPr>
      </w:pPr>
      <w:r>
        <w:rPr>
          <w:rFonts w:ascii="Times New Roman" w:hAnsi="Times New Roman" w:cs="Times New Roman"/>
          <w:b/>
          <w:szCs w:val="22"/>
          <w:lang w:val="lv-LV"/>
        </w:rPr>
        <w:t>5.  KONTRINDIKĀCIJAS</w:t>
      </w:r>
    </w:p>
    <w:p w14:paraId="0B366330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b/>
          <w:szCs w:val="22"/>
          <w:lang w:val="lv-LV"/>
        </w:rPr>
      </w:pPr>
    </w:p>
    <w:p w14:paraId="4087E727" w14:textId="77777777" w:rsidR="00DC12A3" w:rsidRPr="00154622" w:rsidRDefault="00DC12A3" w:rsidP="0042491E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154622">
        <w:rPr>
          <w:rFonts w:ascii="Times New Roman" w:hAnsi="Times New Roman" w:cs="Times New Roman"/>
          <w:szCs w:val="22"/>
          <w:lang w:val="lv-LV"/>
        </w:rPr>
        <w:t>Neievadīt intravenozi.</w:t>
      </w:r>
    </w:p>
    <w:p w14:paraId="38BB9E48" w14:textId="77777777" w:rsidR="00DC12A3" w:rsidRPr="00BE0A21" w:rsidRDefault="00DC12A3" w:rsidP="003524EB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BE0A21">
        <w:rPr>
          <w:rFonts w:ascii="Times New Roman" w:hAnsi="Times New Roman" w:cs="Times New Roman"/>
          <w:szCs w:val="22"/>
          <w:lang w:val="lv-LV"/>
        </w:rPr>
        <w:t>Nelietot gadījumos, ja konstatēta pastiprināta jutība pret penicilīniem un cefalosporīniem vai pret kādu no palīgvielām.</w:t>
      </w:r>
    </w:p>
    <w:p w14:paraId="10B40534" w14:textId="77777777" w:rsidR="00DC12A3" w:rsidRPr="00154622" w:rsidRDefault="00DC12A3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154622">
        <w:rPr>
          <w:rFonts w:ascii="Times New Roman" w:hAnsi="Times New Roman" w:cs="Times New Roman"/>
          <w:szCs w:val="22"/>
          <w:lang w:val="lv-LV"/>
        </w:rPr>
        <w:t>Nelietot dzīvniekiem ar smagu nieru nepietiekamību ar anūriju un oligūriju.</w:t>
      </w:r>
    </w:p>
    <w:p w14:paraId="65385595" w14:textId="34B2AF43" w:rsidR="00DC12A3" w:rsidRPr="00154622" w:rsidRDefault="00DC12A3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154622">
        <w:rPr>
          <w:rFonts w:ascii="Times New Roman" w:hAnsi="Times New Roman" w:cs="Times New Roman"/>
          <w:iCs/>
          <w:szCs w:val="22"/>
          <w:lang w:val="lv-LV"/>
        </w:rPr>
        <w:t>Nelietot gadījumos, ja konstatēta</w:t>
      </w:r>
      <w:r w:rsidRPr="00154622">
        <w:rPr>
          <w:rFonts w:ascii="Times New Roman" w:hAnsi="Times New Roman" w:cs="Times New Roman"/>
          <w:i/>
          <w:iCs/>
          <w:szCs w:val="22"/>
          <w:lang w:val="lv-LV"/>
        </w:rPr>
        <w:t xml:space="preserve"> </w:t>
      </w:r>
      <w:r w:rsidR="00067C1A" w:rsidRPr="00922E10">
        <w:rPr>
          <w:rFonts w:ascii="Times New Roman" w:hAnsi="Times New Roman" w:cs="Times New Roman"/>
          <w:szCs w:val="22"/>
          <w:lang w:val="lv-LV"/>
        </w:rPr>
        <w:t>beta</w:t>
      </w:r>
      <w:r w:rsidR="00067C1A" w:rsidRPr="00B743E8">
        <w:rPr>
          <w:rFonts w:ascii="Times New Roman" w:hAnsi="Times New Roman" w:cs="Times New Roman"/>
          <w:szCs w:val="22"/>
          <w:lang w:val="lv-LV"/>
        </w:rPr>
        <w:t>-laktamāz</w:t>
      </w:r>
      <w:r w:rsidR="00067C1A">
        <w:rPr>
          <w:rFonts w:ascii="Times New Roman" w:hAnsi="Times New Roman" w:cs="Times New Roman"/>
          <w:szCs w:val="22"/>
          <w:lang w:val="lv-LV"/>
        </w:rPr>
        <w:t xml:space="preserve">i </w:t>
      </w:r>
      <w:r w:rsidRPr="00154622">
        <w:rPr>
          <w:rFonts w:ascii="Times New Roman" w:hAnsi="Times New Roman" w:cs="Times New Roman"/>
          <w:szCs w:val="22"/>
          <w:lang w:val="lv-LV"/>
        </w:rPr>
        <w:t>veidojošo patogēnu klātbūtne.</w:t>
      </w:r>
    </w:p>
    <w:p w14:paraId="3D383016" w14:textId="45FA7861" w:rsidR="00DC12A3" w:rsidRPr="00154622" w:rsidRDefault="00DC12A3">
      <w:pPr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  <w:r w:rsidRPr="00154622">
        <w:rPr>
          <w:rFonts w:ascii="Times New Roman" w:hAnsi="Times New Roman" w:cs="Times New Roman"/>
          <w:color w:val="000000"/>
          <w:szCs w:val="22"/>
          <w:lang w:val="lv-LV"/>
        </w:rPr>
        <w:t>Nelietot trušiem, jūrascūciņām, kāmjiem un mazajiem grauzējiem.</w:t>
      </w:r>
    </w:p>
    <w:p w14:paraId="2F99989B" w14:textId="77777777" w:rsidR="00DC12A3" w:rsidRDefault="00DC12A3">
      <w:pPr>
        <w:jc w:val="both"/>
        <w:rPr>
          <w:rFonts w:ascii="Times New Roman" w:hAnsi="Times New Roman" w:cs="Times New Roman"/>
          <w:szCs w:val="22"/>
          <w:lang w:val="lv-LV"/>
        </w:rPr>
      </w:pPr>
    </w:p>
    <w:p w14:paraId="32803944" w14:textId="77777777" w:rsidR="007178CF" w:rsidRPr="007178CF" w:rsidRDefault="007178CF" w:rsidP="00154622">
      <w:pPr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7C21C010" w14:textId="77777777" w:rsidR="00A01D5A" w:rsidRDefault="00A01D5A" w:rsidP="00A01D5A">
      <w:pPr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szCs w:val="22"/>
          <w:lang w:val="lv-LV"/>
        </w:rPr>
        <w:t xml:space="preserve">6. </w:t>
      </w:r>
      <w:r w:rsidR="004A51AF">
        <w:rPr>
          <w:rFonts w:ascii="Times New Roman" w:hAnsi="Times New Roman" w:cs="Times New Roman"/>
          <w:b/>
          <w:szCs w:val="22"/>
          <w:lang w:val="lv-LV"/>
        </w:rPr>
        <w:t>IESPĒJ</w:t>
      </w:r>
      <w:r>
        <w:rPr>
          <w:rFonts w:ascii="Times New Roman" w:hAnsi="Times New Roman" w:cs="Times New Roman"/>
          <w:b/>
          <w:szCs w:val="22"/>
          <w:lang w:val="lv-LV"/>
        </w:rPr>
        <w:t>AMĀS BLAKUSPARĀDĪBAS</w:t>
      </w:r>
    </w:p>
    <w:p w14:paraId="35D22843" w14:textId="77777777" w:rsidR="00A01D5A" w:rsidRDefault="00A01D5A" w:rsidP="00A01D5A">
      <w:pPr>
        <w:rPr>
          <w:rFonts w:ascii="Times New Roman" w:hAnsi="Times New Roman" w:cs="Times New Roman"/>
          <w:b/>
          <w:bCs/>
          <w:color w:val="000000"/>
          <w:szCs w:val="22"/>
          <w:lang w:val="lv-LV"/>
        </w:rPr>
      </w:pPr>
    </w:p>
    <w:p w14:paraId="5A5F7552" w14:textId="77777777" w:rsidR="00A01D5A" w:rsidRDefault="00A01D5A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 xml:space="preserve">Amoksicilīnu saturošu </w:t>
      </w:r>
      <w:r w:rsidR="00D13A68">
        <w:rPr>
          <w:rFonts w:ascii="Times New Roman" w:hAnsi="Times New Roman" w:cs="Times New Roman"/>
          <w:szCs w:val="22"/>
          <w:lang w:val="lv-LV"/>
        </w:rPr>
        <w:t xml:space="preserve">zāļu </w:t>
      </w:r>
      <w:r>
        <w:rPr>
          <w:rFonts w:ascii="Times New Roman" w:hAnsi="Times New Roman" w:cs="Times New Roman"/>
          <w:szCs w:val="22"/>
          <w:lang w:val="lv-LV"/>
        </w:rPr>
        <w:t>lietošana var izraisīt alerģiskas reakcijas (ādas alerģija, anafilakse). Ja konstatē alerģiskas reakcijas Veyxyl LA 20% lietošanas laikā, tā lietošana nekavējoties jāpārtrauc.</w:t>
      </w:r>
    </w:p>
    <w:p w14:paraId="1B24A29C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u w:val="single"/>
          <w:lang w:val="lv-LV"/>
        </w:rPr>
        <w:t>Rīcība:</w:t>
      </w:r>
    </w:p>
    <w:p w14:paraId="677EE9A6" w14:textId="77777777" w:rsidR="00A01D5A" w:rsidRDefault="00A01D5A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 xml:space="preserve">Anafilakses gadījumā: epinefrīns (adrenalīns) un glikokortikosteroīdi i.v. </w:t>
      </w:r>
    </w:p>
    <w:p w14:paraId="0AD6813D" w14:textId="77777777" w:rsidR="00A01D5A" w:rsidRDefault="00A01D5A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Ādas alerģiskas reakcijas gadījumā: antihistamīni un/vai glikokortikosteroīdi</w:t>
      </w:r>
    </w:p>
    <w:p w14:paraId="6228C545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5124C62D" w14:textId="77777777" w:rsidR="00A01D5A" w:rsidRDefault="00A01D5A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 xml:space="preserve">Retos gadījumos pēc Veyxyl LA 20% injekcijas var novērot lokālu iekaisumu. Nevēlamo </w:t>
      </w:r>
      <w:r w:rsidR="00B06365">
        <w:rPr>
          <w:rFonts w:ascii="Times New Roman" w:hAnsi="Times New Roman" w:cs="Times New Roman"/>
          <w:szCs w:val="22"/>
          <w:lang w:val="lv-LV"/>
        </w:rPr>
        <w:t xml:space="preserve">blakusparādību </w:t>
      </w:r>
      <w:r>
        <w:rPr>
          <w:rFonts w:ascii="Times New Roman" w:hAnsi="Times New Roman" w:cs="Times New Roman"/>
          <w:szCs w:val="22"/>
          <w:lang w:val="lv-LV"/>
        </w:rPr>
        <w:t>biežumu var ierobežot, samazinot vienā injekcijas vietā ievadāmo devu.</w:t>
      </w:r>
    </w:p>
    <w:p w14:paraId="0AD38B96" w14:textId="77777777" w:rsidR="00760E71" w:rsidRDefault="00760E71" w:rsidP="00A01D5A">
      <w:pPr>
        <w:rPr>
          <w:rFonts w:ascii="Times New Roman" w:hAnsi="Times New Roman" w:cs="Times New Roman"/>
          <w:szCs w:val="22"/>
          <w:lang w:val="lv-LV"/>
        </w:rPr>
      </w:pPr>
    </w:p>
    <w:p w14:paraId="709EA7CC" w14:textId="77777777" w:rsidR="00760E71" w:rsidRPr="00DD6A6A" w:rsidRDefault="00760E71" w:rsidP="00760E71">
      <w:pPr>
        <w:rPr>
          <w:rFonts w:ascii="Times New Roman" w:hAnsi="Times New Roman" w:cs="Times New Roman"/>
          <w:szCs w:val="20"/>
          <w:lang w:val="lv-LV" w:eastAsia="en-US"/>
        </w:rPr>
      </w:pPr>
      <w:r w:rsidRPr="00DD6A6A">
        <w:rPr>
          <w:rFonts w:ascii="Times New Roman" w:hAnsi="Times New Roman" w:cs="Times New Roman"/>
          <w:szCs w:val="20"/>
          <w:lang w:val="lv-LV" w:eastAsia="en-US"/>
        </w:rPr>
        <w:t>Veterināro zāļu blakusparādību sastopamības biežums</w:t>
      </w:r>
      <w:r w:rsidRPr="00DD6A6A">
        <w:rPr>
          <w:rFonts w:ascii="Times New Roman" w:hAnsi="Times New Roman" w:cs="Times New Roman"/>
          <w:color w:val="FF0000"/>
          <w:szCs w:val="20"/>
          <w:lang w:val="lv-LV" w:eastAsia="en-US"/>
        </w:rPr>
        <w:t xml:space="preserve"> </w:t>
      </w:r>
      <w:r w:rsidRPr="00DD6A6A">
        <w:rPr>
          <w:rFonts w:ascii="Times New Roman" w:hAnsi="Times New Roman" w:cs="Times New Roman"/>
          <w:szCs w:val="20"/>
          <w:lang w:val="lv-LV" w:eastAsia="en-US"/>
        </w:rPr>
        <w:t>norādīts sekojošā secībā:</w:t>
      </w:r>
    </w:p>
    <w:p w14:paraId="119820B1" w14:textId="77777777" w:rsidR="00760E71" w:rsidRPr="00DD6A6A" w:rsidRDefault="00760E71" w:rsidP="00760E71">
      <w:pPr>
        <w:rPr>
          <w:rFonts w:ascii="Times New Roman" w:hAnsi="Times New Roman" w:cs="Times New Roman"/>
          <w:szCs w:val="20"/>
          <w:lang w:val="lv-LV" w:eastAsia="en-US"/>
        </w:rPr>
      </w:pPr>
      <w:r w:rsidRPr="00DD6A6A">
        <w:rPr>
          <w:rFonts w:ascii="Times New Roman" w:hAnsi="Times New Roman" w:cs="Times New Roman"/>
          <w:szCs w:val="22"/>
          <w:lang w:val="lv-LV" w:eastAsia="en-US"/>
        </w:rPr>
        <w:t xml:space="preserve">- </w:t>
      </w:r>
      <w:r w:rsidRPr="00DD6A6A">
        <w:rPr>
          <w:rFonts w:ascii="Times New Roman" w:hAnsi="Times New Roman" w:cs="Times New Roman"/>
          <w:szCs w:val="20"/>
          <w:lang w:val="lv-LV" w:eastAsia="en-US"/>
        </w:rPr>
        <w:t>ļoti bieži (vairāk nekā 1 no 10 ārstētajiem dzīvniekiem novērota(-s) nevēlama(-s) blakusparādība(-s));</w:t>
      </w:r>
    </w:p>
    <w:p w14:paraId="142AE937" w14:textId="77777777" w:rsidR="00760E71" w:rsidRPr="00DD6A6A" w:rsidRDefault="00760E71" w:rsidP="00760E71">
      <w:pPr>
        <w:rPr>
          <w:rFonts w:ascii="Times New Roman" w:hAnsi="Times New Roman" w:cs="Times New Roman"/>
          <w:szCs w:val="20"/>
          <w:lang w:val="lv-LV" w:eastAsia="en-US"/>
        </w:rPr>
      </w:pPr>
      <w:r w:rsidRPr="00DD6A6A">
        <w:rPr>
          <w:rFonts w:ascii="Times New Roman" w:hAnsi="Times New Roman" w:cs="Times New Roman"/>
          <w:szCs w:val="20"/>
          <w:lang w:val="lv-LV" w:eastAsia="en-US"/>
        </w:rPr>
        <w:t>- bieži (vairāk nekā 1, bet mazāk nekā 10 dzīvniekiem no 100 ārstētajiem dzīvniekiem);</w:t>
      </w:r>
    </w:p>
    <w:p w14:paraId="4D419E53" w14:textId="77777777" w:rsidR="00760E71" w:rsidRPr="00DD6A6A" w:rsidRDefault="00760E71" w:rsidP="00760E71">
      <w:pPr>
        <w:rPr>
          <w:rFonts w:ascii="Times New Roman" w:hAnsi="Times New Roman" w:cs="Times New Roman"/>
          <w:szCs w:val="20"/>
          <w:lang w:val="lv-LV" w:eastAsia="en-US"/>
        </w:rPr>
      </w:pPr>
      <w:r w:rsidRPr="00DD6A6A">
        <w:rPr>
          <w:rFonts w:ascii="Times New Roman" w:hAnsi="Times New Roman" w:cs="Times New Roman"/>
          <w:szCs w:val="20"/>
          <w:lang w:val="lv-LV" w:eastAsia="en-US"/>
        </w:rPr>
        <w:t>- retāk (vairāk nekā 1, bet mazāk nekā 10 dzīvniekiem no 1000 ārstētajiem dzīvniekiem);</w:t>
      </w:r>
    </w:p>
    <w:p w14:paraId="6963AA98" w14:textId="77777777" w:rsidR="00760E71" w:rsidRPr="00DD6A6A" w:rsidRDefault="00760E71" w:rsidP="00760E71">
      <w:pPr>
        <w:rPr>
          <w:rFonts w:ascii="Times New Roman" w:hAnsi="Times New Roman" w:cs="Times New Roman"/>
          <w:szCs w:val="20"/>
          <w:lang w:val="lv-LV" w:eastAsia="en-US"/>
        </w:rPr>
      </w:pPr>
      <w:r w:rsidRPr="00DD6A6A">
        <w:rPr>
          <w:rFonts w:ascii="Times New Roman" w:hAnsi="Times New Roman" w:cs="Times New Roman"/>
          <w:szCs w:val="20"/>
          <w:lang w:val="lv-LV" w:eastAsia="en-US"/>
        </w:rPr>
        <w:t>- reti (vairāk nekā 1, bet mazāk nekā 10 dzīvniekiem no 10000 ārstētajiem dzīvniekiem);</w:t>
      </w:r>
    </w:p>
    <w:p w14:paraId="2F947E42" w14:textId="77777777" w:rsidR="00760E71" w:rsidRPr="00440D94" w:rsidRDefault="00760E71" w:rsidP="00760E71">
      <w:pPr>
        <w:rPr>
          <w:rFonts w:ascii="Times New Roman" w:hAnsi="Times New Roman" w:cs="Times New Roman"/>
          <w:szCs w:val="22"/>
          <w:lang w:val="lv-LV"/>
        </w:rPr>
      </w:pPr>
      <w:r w:rsidRPr="00DD6A6A">
        <w:rPr>
          <w:rFonts w:ascii="Times New Roman" w:hAnsi="Times New Roman" w:cs="Times New Roman"/>
          <w:szCs w:val="20"/>
          <w:lang w:val="lv-LV" w:eastAsia="en-US"/>
        </w:rPr>
        <w:t>- ļoti reti (mazāk nekā 1 dzīvniekam no 10000 ārstētajiem dzīvniekiem, ieskaitot atsevišķus ziņojumus).</w:t>
      </w:r>
    </w:p>
    <w:p w14:paraId="6EBC792C" w14:textId="77777777" w:rsidR="00760E71" w:rsidRDefault="00760E71" w:rsidP="00A01D5A">
      <w:pPr>
        <w:rPr>
          <w:rFonts w:ascii="Times New Roman" w:hAnsi="Times New Roman" w:cs="Times New Roman"/>
          <w:szCs w:val="22"/>
          <w:lang w:val="lv-LV"/>
        </w:rPr>
      </w:pPr>
    </w:p>
    <w:p w14:paraId="4F818CF6" w14:textId="77777777" w:rsidR="00760E71" w:rsidRPr="00154622" w:rsidRDefault="00760E71" w:rsidP="00DA5A6B">
      <w:pPr>
        <w:jc w:val="both"/>
        <w:rPr>
          <w:rFonts w:ascii="Times New Roman" w:hAnsi="Times New Roman" w:cs="Times New Roman"/>
          <w:szCs w:val="20"/>
          <w:lang w:val="lv-LV" w:eastAsia="en-US"/>
        </w:rPr>
      </w:pPr>
      <w:r w:rsidRPr="00154622">
        <w:rPr>
          <w:rFonts w:ascii="Times New Roman" w:hAnsi="Times New Roman" w:cs="Times New Roman"/>
          <w:szCs w:val="20"/>
          <w:lang w:val="lv-LV" w:eastAsia="en-US"/>
        </w:rPr>
        <w:t>Ja novērojat jebkuras būtiskas blakusparādības vai citu iedarbību, kas nav minētas šajā lietošanas instrukcijā, lūdzu, informējiet par tām savu veterinārārstu.</w:t>
      </w:r>
    </w:p>
    <w:p w14:paraId="38099C80" w14:textId="77777777" w:rsidR="007178CF" w:rsidRDefault="007178CF" w:rsidP="00A01D5A">
      <w:pPr>
        <w:rPr>
          <w:rFonts w:ascii="Times New Roman" w:hAnsi="Times New Roman" w:cs="Times New Roman"/>
          <w:bCs/>
          <w:szCs w:val="22"/>
          <w:lang w:val="lv-LV"/>
        </w:rPr>
      </w:pPr>
    </w:p>
    <w:p w14:paraId="63C599E3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2EAD8CEE" w14:textId="77777777" w:rsidR="00A01D5A" w:rsidRDefault="00A01D5A" w:rsidP="00A01D5A">
      <w:pPr>
        <w:rPr>
          <w:rFonts w:ascii="Times New Roman" w:hAnsi="Times New Roman" w:cs="Times New Roman"/>
          <w:b/>
          <w:bCs/>
          <w:color w:val="000000"/>
          <w:szCs w:val="22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szCs w:val="22"/>
          <w:lang w:val="lv-LV"/>
        </w:rPr>
        <w:t xml:space="preserve">7.  </w:t>
      </w:r>
      <w:r>
        <w:rPr>
          <w:rFonts w:ascii="Times New Roman" w:hAnsi="Times New Roman" w:cs="Times New Roman"/>
          <w:b/>
          <w:bCs/>
          <w:szCs w:val="22"/>
          <w:lang w:val="lv-LV"/>
        </w:rPr>
        <w:t>MĒRĶA SUGAS</w:t>
      </w:r>
    </w:p>
    <w:p w14:paraId="53045CC7" w14:textId="77777777" w:rsidR="00A01D5A" w:rsidRDefault="00A01D5A" w:rsidP="00A01D5A">
      <w:pPr>
        <w:rPr>
          <w:rFonts w:ascii="Times New Roman" w:hAnsi="Times New Roman" w:cs="Times New Roman"/>
          <w:b/>
          <w:bCs/>
          <w:color w:val="000000"/>
          <w:szCs w:val="22"/>
          <w:lang w:val="lv-LV"/>
        </w:rPr>
      </w:pPr>
    </w:p>
    <w:p w14:paraId="696821B8" w14:textId="77777777" w:rsidR="00A01D5A" w:rsidRDefault="00A01D5A" w:rsidP="00A01D5A">
      <w:pPr>
        <w:pStyle w:val="BodyText3"/>
        <w:tabs>
          <w:tab w:val="clear" w:pos="1276"/>
        </w:tabs>
        <w:rPr>
          <w:rFonts w:ascii="Times New Roman" w:hAnsi="Times New Roman"/>
          <w:i w:val="0"/>
          <w:szCs w:val="22"/>
          <w:lang w:val="lv-LV"/>
        </w:rPr>
      </w:pPr>
      <w:r>
        <w:rPr>
          <w:rFonts w:ascii="Times New Roman" w:hAnsi="Times New Roman"/>
          <w:i w:val="0"/>
          <w:szCs w:val="22"/>
          <w:lang w:val="lv-LV"/>
        </w:rPr>
        <w:t>Liellopi, cūkas, aitas, suņi, kaķi.</w:t>
      </w:r>
    </w:p>
    <w:p w14:paraId="5AE29178" w14:textId="77777777" w:rsidR="00A01D5A" w:rsidRDefault="00A01D5A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40F38B93" w14:textId="77777777" w:rsidR="007178CF" w:rsidRDefault="007178CF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5A3E5E38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 xml:space="preserve">8.  DEVAS ATKARĪBĀ NO DZĪVNIEKU SUGAS, LIETOŠANAS VEIDA UN </w:t>
      </w:r>
      <w:r w:rsidR="00445E6C">
        <w:rPr>
          <w:rFonts w:ascii="Times New Roman" w:hAnsi="Times New Roman" w:cs="Times New Roman"/>
          <w:b/>
          <w:bCs/>
          <w:szCs w:val="22"/>
          <w:lang w:val="lv-LV"/>
        </w:rPr>
        <w:t>METODES</w:t>
      </w:r>
    </w:p>
    <w:p w14:paraId="25B15FB0" w14:textId="77777777" w:rsidR="00A01D5A" w:rsidRDefault="00A01D5A" w:rsidP="00A01D5A">
      <w:pPr>
        <w:tabs>
          <w:tab w:val="right" w:pos="702"/>
        </w:tabs>
        <w:rPr>
          <w:rFonts w:ascii="Times New Roman" w:hAnsi="Times New Roman" w:cs="Times New Roman"/>
          <w:szCs w:val="22"/>
          <w:u w:val="single"/>
          <w:lang w:val="lv-LV"/>
        </w:rPr>
      </w:pPr>
    </w:p>
    <w:p w14:paraId="20B0B882" w14:textId="77777777" w:rsidR="00A01D5A" w:rsidRDefault="00A01D5A" w:rsidP="00A01D5A">
      <w:pPr>
        <w:pStyle w:val="CommentText"/>
        <w:tabs>
          <w:tab w:val="left" w:pos="567"/>
          <w:tab w:val="left" w:pos="2268"/>
          <w:tab w:val="left" w:pos="5103"/>
        </w:tabs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Intramuskulār</w:t>
      </w:r>
      <w:r w:rsidR="005116C3">
        <w:rPr>
          <w:rFonts w:ascii="Times New Roman" w:hAnsi="Times New Roman"/>
          <w:sz w:val="22"/>
          <w:szCs w:val="22"/>
          <w:lang w:val="lv-LV"/>
        </w:rPr>
        <w:t>ai lietošanai.</w:t>
      </w:r>
    </w:p>
    <w:p w14:paraId="36A31756" w14:textId="77777777" w:rsidR="00A01D5A" w:rsidRDefault="00A01D5A" w:rsidP="00A01D5A">
      <w:pPr>
        <w:tabs>
          <w:tab w:val="left" w:pos="567"/>
          <w:tab w:val="left" w:pos="2268"/>
          <w:tab w:val="left" w:pos="5103"/>
        </w:tabs>
        <w:jc w:val="both"/>
        <w:rPr>
          <w:rFonts w:ascii="Times New Roman" w:hAnsi="Times New Roman" w:cs="Times New Roman"/>
          <w:szCs w:val="22"/>
          <w:lang w:val="lv-LV"/>
        </w:rPr>
      </w:pPr>
    </w:p>
    <w:p w14:paraId="29C31C5B" w14:textId="77777777" w:rsidR="008821FA" w:rsidRPr="003C087B" w:rsidRDefault="008821FA" w:rsidP="00DA5A6B">
      <w:pPr>
        <w:pStyle w:val="PlainText"/>
        <w:jc w:val="both"/>
        <w:rPr>
          <w:rFonts w:ascii="Times New Roman" w:hAnsi="Times New Roman"/>
          <w:sz w:val="22"/>
          <w:szCs w:val="22"/>
          <w:lang w:val="lv-LV"/>
        </w:rPr>
      </w:pPr>
      <w:r w:rsidRPr="003C087B">
        <w:rPr>
          <w:rFonts w:ascii="Times New Roman" w:hAnsi="Times New Roman"/>
          <w:sz w:val="22"/>
          <w:szCs w:val="22"/>
          <w:lang w:val="lv-LV"/>
        </w:rPr>
        <w:t>Intramuskulārām injekcijām cūkām laterālajā kakla muskulatūrā, liellopiem – elkoņa (</w:t>
      </w:r>
      <w:r w:rsidR="00067C1A" w:rsidRPr="00DA5A6B">
        <w:rPr>
          <w:rFonts w:ascii="Times New Roman" w:hAnsi="Times New Roman"/>
          <w:i/>
          <w:iCs/>
          <w:sz w:val="22"/>
          <w:szCs w:val="22"/>
          <w:lang w:val="lv-LV"/>
        </w:rPr>
        <w:t xml:space="preserve">m. </w:t>
      </w:r>
      <w:r w:rsidRPr="00DA5A6B">
        <w:rPr>
          <w:rFonts w:ascii="Times New Roman" w:hAnsi="Times New Roman"/>
          <w:i/>
          <w:iCs/>
          <w:sz w:val="22"/>
          <w:szCs w:val="22"/>
          <w:lang w:val="lv-LV"/>
        </w:rPr>
        <w:t>anconeus</w:t>
      </w:r>
      <w:r w:rsidRPr="003C087B">
        <w:rPr>
          <w:rFonts w:ascii="Times New Roman" w:hAnsi="Times New Roman"/>
          <w:sz w:val="22"/>
          <w:szCs w:val="22"/>
          <w:lang w:val="lv-LV"/>
        </w:rPr>
        <w:t>) muskulatūrā.</w:t>
      </w:r>
    </w:p>
    <w:p w14:paraId="3D2387EE" w14:textId="77777777" w:rsidR="008821FA" w:rsidRDefault="008821FA" w:rsidP="00A01D5A">
      <w:pPr>
        <w:tabs>
          <w:tab w:val="left" w:pos="567"/>
          <w:tab w:val="left" w:pos="2268"/>
          <w:tab w:val="left" w:pos="5103"/>
        </w:tabs>
        <w:jc w:val="both"/>
        <w:rPr>
          <w:rFonts w:ascii="Times New Roman" w:hAnsi="Times New Roman" w:cs="Times New Roman"/>
          <w:szCs w:val="22"/>
          <w:lang w:val="lv-LV"/>
        </w:rPr>
      </w:pPr>
    </w:p>
    <w:p w14:paraId="17228A22" w14:textId="77777777" w:rsidR="00A01D5A" w:rsidRDefault="00A01D5A" w:rsidP="00A01D5A">
      <w:pPr>
        <w:pStyle w:val="BodyText2"/>
        <w:tabs>
          <w:tab w:val="left" w:pos="567"/>
          <w:tab w:val="left" w:pos="2268"/>
          <w:tab w:val="left" w:pos="5103"/>
        </w:tabs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 xml:space="preserve">10 mg amoksicilīna uz </w:t>
      </w:r>
      <w:smartTag w:uri="urn:schemas-microsoft-com:office:smarttags" w:element="metricconverter">
        <w:smartTagPr>
          <w:attr w:name="ProductID" w:val="1 kg"/>
        </w:smartTagPr>
        <w:r>
          <w:rPr>
            <w:rFonts w:ascii="Times New Roman" w:hAnsi="Times New Roman"/>
            <w:sz w:val="22"/>
            <w:szCs w:val="22"/>
            <w:lang w:val="lv-LV"/>
          </w:rPr>
          <w:t>1 kg</w:t>
        </w:r>
      </w:smartTag>
      <w:r>
        <w:rPr>
          <w:rFonts w:ascii="Times New Roman" w:hAnsi="Times New Roman"/>
          <w:sz w:val="22"/>
          <w:szCs w:val="22"/>
          <w:lang w:val="lv-LV"/>
        </w:rPr>
        <w:t xml:space="preserve"> ķermeņa svara vienu reizi dienā vismaz trīs dienas pēc kārtas. 10 mg amoksicilīna uz kilogramu ķermeņa svara ir līdzvērtīgs 0</w:t>
      </w:r>
      <w:r w:rsidR="00445E6C">
        <w:rPr>
          <w:rFonts w:ascii="Times New Roman" w:hAnsi="Times New Roman"/>
          <w:sz w:val="22"/>
          <w:szCs w:val="22"/>
          <w:lang w:val="lv-LV"/>
        </w:rPr>
        <w:t>,</w:t>
      </w:r>
      <w:r>
        <w:rPr>
          <w:rFonts w:ascii="Times New Roman" w:hAnsi="Times New Roman"/>
          <w:sz w:val="22"/>
          <w:szCs w:val="22"/>
          <w:lang w:val="lv-LV"/>
        </w:rPr>
        <w:t xml:space="preserve">5 ml Veyxyl LA 20% uz </w:t>
      </w:r>
      <w:smartTag w:uri="urn:schemas-microsoft-com:office:smarttags" w:element="metricconverter">
        <w:smartTagPr>
          <w:attr w:name="ProductID" w:val="10 kg"/>
        </w:smartTagPr>
        <w:r>
          <w:rPr>
            <w:rFonts w:ascii="Times New Roman" w:hAnsi="Times New Roman"/>
            <w:sz w:val="22"/>
            <w:szCs w:val="22"/>
            <w:lang w:val="lv-LV"/>
          </w:rPr>
          <w:t>10 kg</w:t>
        </w:r>
      </w:smartTag>
      <w:r>
        <w:rPr>
          <w:rFonts w:ascii="Times New Roman" w:hAnsi="Times New Roman"/>
          <w:sz w:val="22"/>
          <w:szCs w:val="22"/>
          <w:lang w:val="lv-LV"/>
        </w:rPr>
        <w:t xml:space="preserve"> ķermeņa svara</w:t>
      </w:r>
      <w:r w:rsidR="00AB31A8">
        <w:rPr>
          <w:rFonts w:ascii="Times New Roman" w:hAnsi="Times New Roman"/>
          <w:sz w:val="22"/>
          <w:szCs w:val="22"/>
          <w:lang w:val="lv-LV"/>
        </w:rPr>
        <w:t>.</w:t>
      </w:r>
    </w:p>
    <w:p w14:paraId="2319F792" w14:textId="4B6A412B" w:rsidR="00A01D5A" w:rsidRDefault="00A01D5A" w:rsidP="00DA5A6B">
      <w:pPr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color w:val="000000"/>
          <w:szCs w:val="22"/>
          <w:lang w:val="lv-LV"/>
        </w:rPr>
        <w:t xml:space="preserve">Ja 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trīs dienu laikā pēc ārstēšanas uzsākšanas nenovēro</w:t>
      </w:r>
      <w:r>
        <w:rPr>
          <w:rFonts w:ascii="Times New Roman" w:hAnsi="Times New Roman" w:cs="Times New Roman"/>
          <w:color w:val="000000"/>
          <w:szCs w:val="22"/>
          <w:lang w:val="lv-LV"/>
        </w:rPr>
        <w:t xml:space="preserve"> klīniskā 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 xml:space="preserve">stāvokļa </w:t>
      </w:r>
      <w:r w:rsidR="00067C1A" w:rsidRPr="00CF42A7">
        <w:rPr>
          <w:rFonts w:ascii="Times New Roman" w:hAnsi="Times New Roman" w:cs="Times New Roman"/>
          <w:color w:val="000000"/>
          <w:szCs w:val="22"/>
          <w:lang w:val="lv-LV"/>
        </w:rPr>
        <w:t>uzlabošan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o</w:t>
      </w:r>
      <w:r w:rsidR="00067C1A" w:rsidRPr="00CF42A7">
        <w:rPr>
          <w:rFonts w:ascii="Times New Roman" w:hAnsi="Times New Roman" w:cs="Times New Roman"/>
          <w:color w:val="000000"/>
          <w:szCs w:val="22"/>
          <w:lang w:val="lv-LV"/>
        </w:rPr>
        <w:t xml:space="preserve">s, 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jāpārvērtē diagnoze un</w:t>
      </w:r>
      <w:r>
        <w:rPr>
          <w:rFonts w:ascii="Times New Roman" w:hAnsi="Times New Roman" w:cs="Times New Roman"/>
          <w:color w:val="000000"/>
          <w:szCs w:val="22"/>
          <w:lang w:val="lv-LV"/>
        </w:rPr>
        <w:t xml:space="preserve">, ja 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nepieciešams</w:t>
      </w:r>
      <w:r w:rsidR="002131F2">
        <w:rPr>
          <w:rFonts w:ascii="Times New Roman" w:hAnsi="Times New Roman" w:cs="Times New Roman"/>
          <w:color w:val="000000"/>
          <w:szCs w:val="22"/>
          <w:lang w:val="lv-LV"/>
        </w:rPr>
        <w:t xml:space="preserve">, </w:t>
      </w:r>
      <w:r>
        <w:rPr>
          <w:rFonts w:ascii="Times New Roman" w:hAnsi="Times New Roman" w:cs="Times New Roman"/>
          <w:color w:val="000000"/>
          <w:szCs w:val="22"/>
          <w:lang w:val="lv-LV"/>
        </w:rPr>
        <w:t>jāmaina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 xml:space="preserve"> </w:t>
      </w:r>
      <w:r w:rsidR="00067C1A" w:rsidRPr="00CF42A7">
        <w:rPr>
          <w:rFonts w:ascii="Times New Roman" w:hAnsi="Times New Roman" w:cs="Times New Roman"/>
          <w:color w:val="000000"/>
          <w:szCs w:val="22"/>
          <w:lang w:val="lv-LV"/>
        </w:rPr>
        <w:t>ārstēšana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,</w:t>
      </w:r>
      <w:r w:rsidR="00067C1A" w:rsidRPr="00067C1A">
        <w:rPr>
          <w:rFonts w:ascii="Times New Roman" w:hAnsi="Times New Roman" w:cs="Times New Roman"/>
          <w:color w:val="000000"/>
          <w:szCs w:val="22"/>
          <w:lang w:val="lv-LV"/>
        </w:rPr>
        <w:t xml:space="preserve"> 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ņemot vērā ierosinātāju</w:t>
      </w:r>
      <w:r w:rsidR="00067C1A" w:rsidRPr="00CF42A7">
        <w:rPr>
          <w:rFonts w:ascii="Times New Roman" w:hAnsi="Times New Roman" w:cs="Times New Roman"/>
          <w:color w:val="000000"/>
          <w:szCs w:val="22"/>
          <w:lang w:val="lv-LV"/>
        </w:rPr>
        <w:t xml:space="preserve"> jutība</w:t>
      </w:r>
      <w:r w:rsidR="00067C1A">
        <w:rPr>
          <w:rFonts w:ascii="Times New Roman" w:hAnsi="Times New Roman" w:cs="Times New Roman"/>
          <w:color w:val="000000"/>
          <w:szCs w:val="22"/>
          <w:lang w:val="lv-LV"/>
        </w:rPr>
        <w:t>s testa rezultātus</w:t>
      </w:r>
      <w:r>
        <w:rPr>
          <w:rFonts w:ascii="Times New Roman" w:hAnsi="Times New Roman" w:cs="Times New Roman"/>
          <w:color w:val="000000"/>
          <w:szCs w:val="22"/>
          <w:lang w:val="lv-LV"/>
        </w:rPr>
        <w:t xml:space="preserve">. </w:t>
      </w:r>
      <w:r w:rsidRPr="00FD2D7C">
        <w:rPr>
          <w:rFonts w:ascii="Times New Roman" w:hAnsi="Times New Roman" w:cs="Times New Roman"/>
          <w:color w:val="000000"/>
          <w:szCs w:val="22"/>
          <w:lang w:val="lv-LV"/>
        </w:rPr>
        <w:t>Ārstēšana jātu</w:t>
      </w:r>
      <w:r w:rsidRPr="00E415E7">
        <w:rPr>
          <w:rFonts w:ascii="Times New Roman" w:hAnsi="Times New Roman" w:cs="Times New Roman"/>
          <w:color w:val="000000"/>
          <w:szCs w:val="22"/>
          <w:lang w:val="lv-LV"/>
        </w:rPr>
        <w:t>rpina 2 dienas pēc klīnisko pazīmju izzušanas.</w:t>
      </w:r>
    </w:p>
    <w:p w14:paraId="363B5EE0" w14:textId="76845ED6" w:rsidR="00A01D5A" w:rsidRDefault="00A01D5A" w:rsidP="00154622">
      <w:pPr>
        <w:rPr>
          <w:rFonts w:ascii="Times New Roman" w:hAnsi="Times New Roman" w:cs="Times New Roman"/>
          <w:bCs/>
          <w:szCs w:val="22"/>
          <w:lang w:val="lv-LV"/>
        </w:rPr>
      </w:pPr>
      <w:r>
        <w:rPr>
          <w:rFonts w:ascii="Times New Roman" w:hAnsi="Times New Roman" w:cs="Times New Roman"/>
          <w:szCs w:val="22"/>
          <w:lang w:val="lv-LV"/>
        </w:rPr>
        <w:t>Pirms lietošanas</w:t>
      </w:r>
      <w:r w:rsidR="002131F2">
        <w:rPr>
          <w:rFonts w:ascii="Times New Roman" w:hAnsi="Times New Roman" w:cs="Times New Roman"/>
          <w:szCs w:val="22"/>
          <w:lang w:val="lv-LV"/>
        </w:rPr>
        <w:t xml:space="preserve"> flakonu</w:t>
      </w:r>
      <w:r w:rsidR="00067C1A">
        <w:rPr>
          <w:rFonts w:ascii="Times New Roman" w:hAnsi="Times New Roman" w:cs="Times New Roman"/>
          <w:szCs w:val="22"/>
          <w:lang w:val="lv-LV"/>
        </w:rPr>
        <w:t xml:space="preserve"> </w:t>
      </w:r>
      <w:r w:rsidR="00445E6C">
        <w:rPr>
          <w:rFonts w:ascii="Times New Roman" w:hAnsi="Times New Roman" w:cs="Times New Roman"/>
          <w:szCs w:val="22"/>
          <w:lang w:val="lv-LV"/>
        </w:rPr>
        <w:t>saskalināt.</w:t>
      </w:r>
    </w:p>
    <w:p w14:paraId="1EB3921E" w14:textId="77777777" w:rsidR="00B06365" w:rsidRDefault="00B06365" w:rsidP="00B06365">
      <w:pPr>
        <w:jc w:val="both"/>
        <w:rPr>
          <w:rFonts w:ascii="Times New Roman" w:hAnsi="Times New Roman" w:cs="Times New Roman"/>
          <w:szCs w:val="22"/>
          <w:lang w:val="lv-LV"/>
        </w:rPr>
      </w:pPr>
    </w:p>
    <w:p w14:paraId="69F93B19" w14:textId="4F373552" w:rsidR="00B06365" w:rsidRPr="006C2362" w:rsidRDefault="00B06365" w:rsidP="00DA5A6B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6C2362">
        <w:rPr>
          <w:rFonts w:ascii="Times New Roman" w:hAnsi="Times New Roman" w:cs="Times New Roman"/>
          <w:szCs w:val="22"/>
          <w:lang w:val="lv-LV"/>
        </w:rPr>
        <w:t xml:space="preserve">Lai nodrošinātu precīzas devas </w:t>
      </w:r>
      <w:r w:rsidR="00067C1A">
        <w:rPr>
          <w:rFonts w:ascii="Times New Roman" w:hAnsi="Times New Roman" w:cs="Times New Roman"/>
          <w:szCs w:val="22"/>
          <w:lang w:val="lv-LV"/>
        </w:rPr>
        <w:t>ievadīšanu</w:t>
      </w:r>
      <w:r w:rsidRPr="006C2362">
        <w:rPr>
          <w:rFonts w:ascii="Times New Roman" w:hAnsi="Times New Roman" w:cs="Times New Roman"/>
          <w:szCs w:val="22"/>
          <w:lang w:val="lv-LV"/>
        </w:rPr>
        <w:t xml:space="preserve"> un izvairītos no pārāk mazas devas lietošanas, ķermeņa svars jānosaka iespējami precīzāk.</w:t>
      </w:r>
    </w:p>
    <w:p w14:paraId="195D22C0" w14:textId="77777777" w:rsidR="00B06365" w:rsidRDefault="00B06365" w:rsidP="00A01D5A">
      <w:pPr>
        <w:tabs>
          <w:tab w:val="left" w:pos="567"/>
          <w:tab w:val="right" w:pos="702"/>
          <w:tab w:val="left" w:pos="3969"/>
        </w:tabs>
        <w:rPr>
          <w:rFonts w:ascii="Times New Roman" w:hAnsi="Times New Roman" w:cs="Times New Roman"/>
          <w:bCs/>
          <w:szCs w:val="22"/>
          <w:lang w:val="lv-LV"/>
        </w:rPr>
      </w:pPr>
    </w:p>
    <w:p w14:paraId="250ACC1C" w14:textId="77777777" w:rsidR="007178CF" w:rsidRDefault="007178CF" w:rsidP="00A01D5A">
      <w:pPr>
        <w:tabs>
          <w:tab w:val="left" w:pos="567"/>
          <w:tab w:val="right" w:pos="702"/>
          <w:tab w:val="left" w:pos="3969"/>
        </w:tabs>
        <w:rPr>
          <w:rFonts w:ascii="Times New Roman" w:hAnsi="Times New Roman" w:cs="Times New Roman"/>
          <w:bCs/>
          <w:szCs w:val="22"/>
          <w:lang w:val="lv-LV"/>
        </w:rPr>
      </w:pPr>
    </w:p>
    <w:p w14:paraId="2A451608" w14:textId="77777777" w:rsidR="00A01D5A" w:rsidRDefault="00A01D5A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 xml:space="preserve">9.  IETEIKUMI PAREIZAI LIETOŠANAI </w:t>
      </w:r>
    </w:p>
    <w:p w14:paraId="376AEBCD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lv-LV"/>
        </w:rPr>
      </w:pPr>
    </w:p>
    <w:p w14:paraId="1BE4E879" w14:textId="1405751E" w:rsidR="00760E71" w:rsidRPr="003C087B" w:rsidRDefault="00760E71" w:rsidP="00760E71">
      <w:pPr>
        <w:tabs>
          <w:tab w:val="left" w:pos="567"/>
          <w:tab w:val="left" w:pos="2268"/>
          <w:tab w:val="left" w:pos="5103"/>
        </w:tabs>
        <w:jc w:val="both"/>
        <w:rPr>
          <w:rFonts w:ascii="Times New Roman" w:hAnsi="Times New Roman" w:cs="Times New Roman"/>
          <w:szCs w:val="22"/>
          <w:lang w:val="lv-LV"/>
        </w:rPr>
      </w:pPr>
      <w:r w:rsidRPr="00440D94">
        <w:rPr>
          <w:rFonts w:ascii="Times New Roman" w:hAnsi="Times New Roman" w:cs="Times New Roman"/>
          <w:szCs w:val="22"/>
          <w:lang w:val="lv-LV"/>
        </w:rPr>
        <w:t xml:space="preserve">Liellopiem </w:t>
      </w:r>
      <w:r w:rsidRPr="00440D94">
        <w:rPr>
          <w:rFonts w:ascii="Times New Roman" w:hAnsi="Times New Roman" w:cs="Times New Roman"/>
          <w:bCs/>
          <w:iCs/>
          <w:szCs w:val="22"/>
          <w:lang w:val="lv-LV"/>
        </w:rPr>
        <w:t>Veyxyl LA 20%</w:t>
      </w:r>
      <w:r w:rsidRPr="00440D94">
        <w:rPr>
          <w:rFonts w:ascii="Times New Roman" w:hAnsi="Times New Roman" w:cs="Times New Roman"/>
          <w:szCs w:val="22"/>
          <w:lang w:val="lv-LV"/>
        </w:rPr>
        <w:t xml:space="preserve"> injekcijas </w:t>
      </w:r>
      <w:r w:rsidRPr="003C087B">
        <w:rPr>
          <w:rFonts w:ascii="Times New Roman" w:hAnsi="Times New Roman" w:cs="Times New Roman"/>
          <w:szCs w:val="22"/>
          <w:lang w:val="lv-LV"/>
        </w:rPr>
        <w:t>jāievada dažādās ķermeņa vietās</w:t>
      </w:r>
      <w:r w:rsidRPr="00440D94">
        <w:rPr>
          <w:rFonts w:ascii="Times New Roman" w:hAnsi="Times New Roman" w:cs="Times New Roman"/>
          <w:szCs w:val="22"/>
          <w:lang w:val="lv-LV"/>
        </w:rPr>
        <w:t xml:space="preserve">. </w:t>
      </w:r>
      <w:r w:rsidRPr="003C087B">
        <w:rPr>
          <w:rFonts w:ascii="Times New Roman" w:hAnsi="Times New Roman" w:cs="Times New Roman"/>
          <w:color w:val="000000"/>
          <w:szCs w:val="22"/>
          <w:lang w:val="lv-LV"/>
        </w:rPr>
        <w:t>Liellopiem vienā injekcijas vietā ievada ne vairāk kā 20 ml.</w:t>
      </w:r>
    </w:p>
    <w:p w14:paraId="37B72AFF" w14:textId="77777777" w:rsidR="007178CF" w:rsidRDefault="007178CF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08F94597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lv-LV"/>
        </w:rPr>
      </w:pPr>
    </w:p>
    <w:p w14:paraId="5DEF7A3C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lastRenderedPageBreak/>
        <w:t>10.  IEROBEŽOJUMU PERIODS(</w:t>
      </w:r>
      <w:r w:rsidR="00445E6C">
        <w:rPr>
          <w:rFonts w:ascii="Times New Roman" w:hAnsi="Times New Roman" w:cs="Times New Roman"/>
          <w:b/>
          <w:bCs/>
          <w:szCs w:val="22"/>
          <w:lang w:val="lv-LV"/>
        </w:rPr>
        <w:t>-</w:t>
      </w:r>
      <w:r>
        <w:rPr>
          <w:rFonts w:ascii="Times New Roman" w:hAnsi="Times New Roman" w:cs="Times New Roman"/>
          <w:b/>
          <w:bCs/>
          <w:szCs w:val="22"/>
          <w:lang w:val="lv-LV"/>
        </w:rPr>
        <w:t>I) DZĪVNIEKU PRODUKCIJAS IMANTOŠANĀ</w:t>
      </w:r>
    </w:p>
    <w:p w14:paraId="47313B78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lv-LV"/>
        </w:rPr>
      </w:pPr>
    </w:p>
    <w:p w14:paraId="46C3451B" w14:textId="77777777" w:rsidR="00760E71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  <w:r w:rsidRPr="00440D94">
        <w:rPr>
          <w:rFonts w:ascii="Times New Roman" w:hAnsi="Times New Roman"/>
          <w:sz w:val="22"/>
          <w:szCs w:val="22"/>
          <w:lang w:val="lv-LV"/>
        </w:rPr>
        <w:t>Liellopi</w:t>
      </w:r>
      <w:r>
        <w:rPr>
          <w:rFonts w:ascii="Times New Roman" w:hAnsi="Times New Roman"/>
          <w:sz w:val="22"/>
          <w:szCs w:val="22"/>
          <w:lang w:val="lv-LV"/>
        </w:rPr>
        <w:t>em</w:t>
      </w:r>
      <w:r w:rsidRPr="00440D94">
        <w:rPr>
          <w:rFonts w:ascii="Times New Roman" w:hAnsi="Times New Roman"/>
          <w:sz w:val="22"/>
          <w:szCs w:val="22"/>
          <w:lang w:val="lv-LV"/>
        </w:rPr>
        <w:t>, cūk</w:t>
      </w:r>
      <w:r>
        <w:rPr>
          <w:rFonts w:ascii="Times New Roman" w:hAnsi="Times New Roman"/>
          <w:sz w:val="22"/>
          <w:szCs w:val="22"/>
          <w:lang w:val="lv-LV"/>
        </w:rPr>
        <w:t>ām</w:t>
      </w:r>
      <w:r w:rsidRPr="00DD6A6A">
        <w:rPr>
          <w:rFonts w:ascii="Times New Roman" w:hAnsi="Times New Roman"/>
          <w:sz w:val="22"/>
          <w:szCs w:val="22"/>
          <w:lang w:val="lv-LV"/>
        </w:rPr>
        <w:t xml:space="preserve">, </w:t>
      </w:r>
      <w:r w:rsidRPr="00440D94">
        <w:rPr>
          <w:rFonts w:ascii="Times New Roman" w:hAnsi="Times New Roman"/>
          <w:sz w:val="22"/>
          <w:szCs w:val="22"/>
          <w:lang w:val="lv-LV"/>
        </w:rPr>
        <w:t>ait</w:t>
      </w:r>
      <w:r>
        <w:rPr>
          <w:rFonts w:ascii="Times New Roman" w:hAnsi="Times New Roman"/>
          <w:sz w:val="22"/>
          <w:szCs w:val="22"/>
          <w:lang w:val="lv-LV"/>
        </w:rPr>
        <w:t>ām</w:t>
      </w:r>
      <w:r w:rsidRPr="00DD6A6A">
        <w:rPr>
          <w:rFonts w:ascii="Times New Roman" w:hAnsi="Times New Roman"/>
          <w:sz w:val="22"/>
          <w:szCs w:val="22"/>
          <w:lang w:val="lv-LV"/>
        </w:rPr>
        <w:t>:</w:t>
      </w:r>
      <w:r w:rsidRPr="00DD6A6A">
        <w:rPr>
          <w:rFonts w:ascii="Times New Roman" w:hAnsi="Times New Roman"/>
          <w:sz w:val="22"/>
          <w:szCs w:val="22"/>
          <w:lang w:val="lv-LV"/>
        </w:rPr>
        <w:tab/>
      </w:r>
    </w:p>
    <w:p w14:paraId="4C3F06D5" w14:textId="77777777" w:rsidR="00760E71" w:rsidRPr="003C087B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G</w:t>
      </w:r>
      <w:r w:rsidRPr="003C087B">
        <w:rPr>
          <w:rFonts w:ascii="Times New Roman" w:hAnsi="Times New Roman"/>
          <w:sz w:val="22"/>
          <w:szCs w:val="22"/>
          <w:lang w:val="lv-LV"/>
        </w:rPr>
        <w:t>aļai un blakusproduktiem:</w:t>
      </w:r>
      <w:r w:rsidRPr="003C087B">
        <w:rPr>
          <w:rFonts w:ascii="Times New Roman" w:hAnsi="Times New Roman"/>
          <w:sz w:val="22"/>
          <w:szCs w:val="22"/>
          <w:lang w:val="lv-LV"/>
        </w:rPr>
        <w:tab/>
        <w:t xml:space="preserve">  28 dienas</w:t>
      </w:r>
      <w:r>
        <w:rPr>
          <w:rFonts w:ascii="Times New Roman" w:hAnsi="Times New Roman"/>
          <w:sz w:val="22"/>
          <w:szCs w:val="22"/>
          <w:lang w:val="lv-LV"/>
        </w:rPr>
        <w:t>.</w:t>
      </w:r>
    </w:p>
    <w:p w14:paraId="28F5F40B" w14:textId="77777777" w:rsidR="00760E71" w:rsidRPr="003C087B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</w:p>
    <w:p w14:paraId="7EA01B97" w14:textId="77777777" w:rsidR="00760E71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  <w:r w:rsidRPr="00440D94">
        <w:rPr>
          <w:rFonts w:ascii="Times New Roman" w:hAnsi="Times New Roman"/>
          <w:sz w:val="22"/>
          <w:szCs w:val="22"/>
          <w:lang w:val="lv-LV"/>
        </w:rPr>
        <w:t>Liellopi</w:t>
      </w:r>
      <w:r>
        <w:rPr>
          <w:rFonts w:ascii="Times New Roman" w:hAnsi="Times New Roman"/>
          <w:sz w:val="22"/>
          <w:szCs w:val="22"/>
          <w:lang w:val="lv-LV"/>
        </w:rPr>
        <w:t>em</w:t>
      </w:r>
      <w:r w:rsidRPr="00DD6A6A">
        <w:rPr>
          <w:rFonts w:ascii="Times New Roman" w:hAnsi="Times New Roman"/>
          <w:sz w:val="22"/>
          <w:szCs w:val="22"/>
          <w:lang w:val="lv-LV"/>
        </w:rPr>
        <w:t>:</w:t>
      </w:r>
      <w:r w:rsidRPr="003C087B">
        <w:rPr>
          <w:rFonts w:ascii="Times New Roman" w:hAnsi="Times New Roman"/>
          <w:sz w:val="22"/>
          <w:szCs w:val="22"/>
          <w:lang w:val="lv-LV"/>
        </w:rPr>
        <w:tab/>
      </w:r>
    </w:p>
    <w:p w14:paraId="5F4F68A3" w14:textId="77777777" w:rsidR="00760E71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P</w:t>
      </w:r>
      <w:r w:rsidRPr="003C087B">
        <w:rPr>
          <w:rFonts w:ascii="Times New Roman" w:hAnsi="Times New Roman"/>
          <w:sz w:val="22"/>
          <w:szCs w:val="22"/>
          <w:lang w:val="lv-LV"/>
        </w:rPr>
        <w:t xml:space="preserve">ienam:  </w:t>
      </w:r>
      <w:r w:rsidRPr="003C087B">
        <w:rPr>
          <w:rFonts w:ascii="Times New Roman" w:hAnsi="Times New Roman"/>
          <w:sz w:val="22"/>
          <w:szCs w:val="22"/>
          <w:lang w:val="lv-LV"/>
        </w:rPr>
        <w:tab/>
        <w:t xml:space="preserve">    3 dienas</w:t>
      </w:r>
      <w:r>
        <w:rPr>
          <w:rFonts w:ascii="Times New Roman" w:hAnsi="Times New Roman"/>
          <w:sz w:val="22"/>
          <w:szCs w:val="22"/>
          <w:lang w:val="lv-LV"/>
        </w:rPr>
        <w:t>.</w:t>
      </w:r>
    </w:p>
    <w:p w14:paraId="046E2DEE" w14:textId="77777777" w:rsidR="00760E71" w:rsidRPr="003C087B" w:rsidRDefault="00760E71" w:rsidP="00760E71">
      <w:pPr>
        <w:pStyle w:val="CommentText"/>
        <w:tabs>
          <w:tab w:val="left" w:pos="3094"/>
          <w:tab w:val="right" w:pos="5382"/>
        </w:tabs>
        <w:rPr>
          <w:rFonts w:ascii="Times New Roman" w:hAnsi="Times New Roman"/>
          <w:sz w:val="22"/>
          <w:szCs w:val="22"/>
          <w:lang w:val="lv-LV"/>
        </w:rPr>
      </w:pPr>
      <w:r w:rsidRPr="00DD6A6A">
        <w:rPr>
          <w:rFonts w:ascii="Times New Roman" w:hAnsi="Times New Roman"/>
          <w:sz w:val="22"/>
          <w:szCs w:val="22"/>
          <w:lang w:val="lv-LV" w:eastAsia="en-US"/>
        </w:rPr>
        <w:t xml:space="preserve">Nav reģistrēts lietošanai </w:t>
      </w:r>
      <w:r>
        <w:rPr>
          <w:rFonts w:ascii="Times New Roman" w:hAnsi="Times New Roman"/>
          <w:sz w:val="22"/>
          <w:szCs w:val="22"/>
          <w:lang w:val="lv-LV" w:eastAsia="en-US"/>
        </w:rPr>
        <w:t>aitām</w:t>
      </w:r>
      <w:r w:rsidRPr="00DD6A6A">
        <w:rPr>
          <w:rFonts w:ascii="Times New Roman" w:hAnsi="Times New Roman"/>
          <w:sz w:val="22"/>
          <w:szCs w:val="22"/>
          <w:lang w:val="lv-LV" w:eastAsia="en-US"/>
        </w:rPr>
        <w:t xml:space="preserve">, </w:t>
      </w:r>
      <w:r w:rsidRPr="00DD6A6A">
        <w:rPr>
          <w:rFonts w:ascii="Times New Roman" w:hAnsi="Times New Roman"/>
          <w:color w:val="000000"/>
          <w:sz w:val="22"/>
          <w:szCs w:val="22"/>
          <w:lang w:val="lv-LV" w:eastAsia="en-US"/>
        </w:rPr>
        <w:t>kuru pienu paredzēts izmantot cilvēku uzturā.</w:t>
      </w:r>
    </w:p>
    <w:p w14:paraId="11E4A87B" w14:textId="77777777" w:rsidR="007178CF" w:rsidRDefault="007178CF" w:rsidP="00A01D5A">
      <w:pPr>
        <w:rPr>
          <w:rFonts w:ascii="Times New Roman" w:hAnsi="Times New Roman"/>
          <w:szCs w:val="22"/>
          <w:u w:val="single"/>
          <w:lang w:val="lv-LV"/>
        </w:rPr>
      </w:pPr>
    </w:p>
    <w:p w14:paraId="0C201FD3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47718A6A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>11.</w:t>
      </w:r>
      <w:r>
        <w:rPr>
          <w:rFonts w:ascii="Times New Roman" w:hAnsi="Times New Roman" w:cs="Times New Roman"/>
          <w:b/>
          <w:color w:val="000000"/>
          <w:szCs w:val="22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lang w:val="lv-LV"/>
        </w:rPr>
        <w:t xml:space="preserve">ĪPAŠI </w:t>
      </w:r>
      <w:r>
        <w:rPr>
          <w:rFonts w:ascii="Times New Roman" w:hAnsi="Times New Roman" w:cs="Times New Roman"/>
          <w:b/>
          <w:bCs/>
          <w:caps/>
          <w:szCs w:val="22"/>
          <w:lang w:val="lv-LV"/>
        </w:rPr>
        <w:t>UZGLabāšanaS</w:t>
      </w:r>
      <w:r>
        <w:rPr>
          <w:rFonts w:ascii="Times New Roman" w:hAnsi="Times New Roman" w:cs="Times New Roman"/>
          <w:b/>
          <w:bCs/>
          <w:szCs w:val="22"/>
          <w:lang w:val="lv-LV"/>
        </w:rPr>
        <w:t xml:space="preserve"> NORĀDĪJUMI</w:t>
      </w:r>
    </w:p>
    <w:p w14:paraId="69D7D727" w14:textId="77777777" w:rsidR="00A01D5A" w:rsidRDefault="00A01D5A" w:rsidP="00A01D5A">
      <w:pPr>
        <w:tabs>
          <w:tab w:val="left" w:pos="572"/>
        </w:tabs>
        <w:rPr>
          <w:rFonts w:ascii="Times New Roman" w:hAnsi="Times New Roman" w:cs="Times New Roman"/>
          <w:b/>
          <w:szCs w:val="22"/>
          <w:lang w:val="lv-LV"/>
        </w:rPr>
      </w:pPr>
    </w:p>
    <w:p w14:paraId="1865DA6C" w14:textId="306AA9B6" w:rsidR="00A01D5A" w:rsidRDefault="00A01D5A" w:rsidP="00DA5A6B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Cs w:val="22"/>
          <w:lang w:val="lv-LV"/>
        </w:rPr>
      </w:pPr>
      <w:r>
        <w:rPr>
          <w:rFonts w:ascii="Times New Roman" w:hAnsi="Times New Roman" w:cs="Times New Roman"/>
          <w:noProof/>
          <w:szCs w:val="22"/>
          <w:lang w:val="lv-LV"/>
        </w:rPr>
        <w:t xml:space="preserve">Uzglabāt bērniem </w:t>
      </w:r>
      <w:r w:rsidR="00445E6C">
        <w:rPr>
          <w:rFonts w:ascii="Times New Roman" w:hAnsi="Times New Roman" w:cs="Times New Roman"/>
          <w:noProof/>
          <w:szCs w:val="22"/>
          <w:lang w:val="lv-LV"/>
        </w:rPr>
        <w:t xml:space="preserve">neredzamā un </w:t>
      </w:r>
      <w:r>
        <w:rPr>
          <w:rFonts w:ascii="Times New Roman" w:hAnsi="Times New Roman" w:cs="Times New Roman"/>
          <w:noProof/>
          <w:szCs w:val="22"/>
          <w:lang w:val="lv-LV"/>
        </w:rPr>
        <w:t>nepieejamā vietā</w:t>
      </w:r>
      <w:r w:rsidR="00445E6C">
        <w:rPr>
          <w:rFonts w:ascii="Times New Roman" w:hAnsi="Times New Roman" w:cs="Times New Roman"/>
          <w:noProof/>
          <w:szCs w:val="22"/>
          <w:lang w:val="lv-LV"/>
        </w:rPr>
        <w:t>.</w:t>
      </w:r>
    </w:p>
    <w:p w14:paraId="16792040" w14:textId="77777777" w:rsidR="00A01D5A" w:rsidRDefault="00445E6C" w:rsidP="00DA5A6B">
      <w:pPr>
        <w:pStyle w:val="PlainText"/>
        <w:jc w:val="both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 xml:space="preserve">Uzglabāt </w:t>
      </w:r>
      <w:r w:rsidR="00A01D5A">
        <w:rPr>
          <w:rFonts w:ascii="Times New Roman" w:hAnsi="Times New Roman"/>
          <w:sz w:val="22"/>
          <w:szCs w:val="22"/>
          <w:lang w:val="lv-LV"/>
        </w:rPr>
        <w:t xml:space="preserve">temperatūrā </w:t>
      </w:r>
      <w:r>
        <w:rPr>
          <w:rFonts w:ascii="Times New Roman" w:hAnsi="Times New Roman"/>
          <w:sz w:val="22"/>
          <w:szCs w:val="22"/>
          <w:lang w:val="lv-LV"/>
        </w:rPr>
        <w:t xml:space="preserve">līdz </w:t>
      </w:r>
      <w:r w:rsidR="00A01D5A">
        <w:rPr>
          <w:rFonts w:ascii="Times New Roman" w:hAnsi="Times New Roman"/>
          <w:sz w:val="22"/>
          <w:szCs w:val="22"/>
          <w:lang w:val="lv-LV"/>
        </w:rPr>
        <w:t>25 °C.</w:t>
      </w:r>
    </w:p>
    <w:p w14:paraId="3FD707E0" w14:textId="77777777" w:rsidR="00A01D5A" w:rsidRDefault="00A01D5A" w:rsidP="00DA5A6B">
      <w:pPr>
        <w:ind w:right="-2"/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  <w:r>
        <w:rPr>
          <w:rFonts w:ascii="Times New Roman" w:hAnsi="Times New Roman" w:cs="Times New Roman"/>
          <w:color w:val="000000"/>
          <w:szCs w:val="22"/>
          <w:lang w:val="lv-LV"/>
        </w:rPr>
        <w:t>Nelietot</w:t>
      </w:r>
      <w:r w:rsidR="00445E6C">
        <w:rPr>
          <w:rFonts w:ascii="Times New Roman" w:hAnsi="Times New Roman" w:cs="Times New Roman"/>
          <w:color w:val="000000"/>
          <w:szCs w:val="22"/>
          <w:lang w:val="lv-LV"/>
        </w:rPr>
        <w:t xml:space="preserve"> šīs veterinārās zāles</w:t>
      </w:r>
      <w:r>
        <w:rPr>
          <w:rFonts w:ascii="Times New Roman" w:hAnsi="Times New Roman" w:cs="Times New Roman"/>
          <w:color w:val="000000"/>
          <w:szCs w:val="22"/>
          <w:lang w:val="lv-LV"/>
        </w:rPr>
        <w:t xml:space="preserve">, ja beidzies derīguma termiņš, </w:t>
      </w:r>
      <w:r w:rsidR="00445E6C">
        <w:rPr>
          <w:rFonts w:ascii="Times New Roman" w:hAnsi="Times New Roman" w:cs="Times New Roman"/>
          <w:color w:val="000000"/>
          <w:szCs w:val="22"/>
          <w:lang w:val="lv-LV"/>
        </w:rPr>
        <w:t xml:space="preserve">kas </w:t>
      </w:r>
      <w:r>
        <w:rPr>
          <w:rFonts w:ascii="Times New Roman" w:hAnsi="Times New Roman" w:cs="Times New Roman"/>
          <w:color w:val="000000"/>
          <w:szCs w:val="22"/>
          <w:lang w:val="lv-LV"/>
        </w:rPr>
        <w:t>norādīts marķējumā</w:t>
      </w:r>
      <w:r w:rsidR="00445E6C">
        <w:rPr>
          <w:rFonts w:ascii="Times New Roman" w:hAnsi="Times New Roman" w:cs="Times New Roman"/>
          <w:color w:val="000000"/>
          <w:szCs w:val="22"/>
          <w:lang w:val="lv-LV"/>
        </w:rPr>
        <w:t>.</w:t>
      </w:r>
    </w:p>
    <w:p w14:paraId="3755E0EF" w14:textId="77777777" w:rsidR="00445E6C" w:rsidRPr="00154622" w:rsidRDefault="00445E6C" w:rsidP="00DA5A6B">
      <w:pPr>
        <w:jc w:val="both"/>
        <w:rPr>
          <w:rFonts w:ascii="Times New Roman" w:hAnsi="Times New Roman" w:cs="Times New Roman"/>
          <w:color w:val="000000"/>
          <w:szCs w:val="22"/>
          <w:lang w:val="lv-LV"/>
        </w:rPr>
      </w:pPr>
      <w:r w:rsidRPr="00154622">
        <w:rPr>
          <w:rFonts w:ascii="Times New Roman" w:hAnsi="Times New Roman" w:cs="Times New Roman"/>
          <w:color w:val="000000"/>
          <w:szCs w:val="22"/>
          <w:lang w:val="lv-LV"/>
        </w:rPr>
        <w:t>Derīguma termiņš pēc pirmās tiešā iepakojuma atvēršanas: 28 dienas.</w:t>
      </w:r>
    </w:p>
    <w:p w14:paraId="74A31261" w14:textId="77777777" w:rsidR="007178CF" w:rsidRDefault="007178CF" w:rsidP="00A01D5A">
      <w:pPr>
        <w:rPr>
          <w:rFonts w:ascii="Times New Roman" w:hAnsi="Times New Roman" w:cs="Times New Roman"/>
          <w:szCs w:val="22"/>
          <w:lang w:val="lv-LV"/>
        </w:rPr>
      </w:pPr>
    </w:p>
    <w:p w14:paraId="2F05001C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6DE20929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>12.  ĪPAŠI BRĪDINĀJUMI</w:t>
      </w:r>
    </w:p>
    <w:p w14:paraId="138665AE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lv-LV"/>
        </w:rPr>
      </w:pPr>
    </w:p>
    <w:p w14:paraId="25F77A63" w14:textId="77777777" w:rsidR="00444B52" w:rsidRDefault="00444B52" w:rsidP="00A01D5A">
      <w:pPr>
        <w:jc w:val="both"/>
        <w:rPr>
          <w:rFonts w:ascii="Times New Roman" w:hAnsi="Times New Roman" w:cs="Times New Roman"/>
          <w:szCs w:val="22"/>
          <w:u w:val="single"/>
          <w:lang w:val="lv-LV"/>
        </w:rPr>
      </w:pPr>
      <w:r w:rsidRPr="00154622">
        <w:rPr>
          <w:rFonts w:ascii="Times New Roman" w:hAnsi="Times New Roman" w:cs="Times New Roman"/>
          <w:szCs w:val="22"/>
          <w:u w:val="single"/>
          <w:lang w:val="lv-LV"/>
        </w:rPr>
        <w:t>Īpaši piesardzības pasākumi, lietojot dzīvniekiem:</w:t>
      </w:r>
    </w:p>
    <w:p w14:paraId="221EE7F5" w14:textId="77777777" w:rsidR="00444B52" w:rsidRPr="00440D94" w:rsidRDefault="00444B52" w:rsidP="00444B52">
      <w:pPr>
        <w:tabs>
          <w:tab w:val="left" w:pos="567"/>
          <w:tab w:val="left" w:pos="2268"/>
          <w:tab w:val="left" w:pos="5103"/>
        </w:tabs>
        <w:jc w:val="both"/>
        <w:rPr>
          <w:rFonts w:ascii="Times New Roman" w:hAnsi="Times New Roman" w:cs="Times New Roman"/>
          <w:szCs w:val="22"/>
          <w:lang w:val="lv-LV"/>
        </w:rPr>
      </w:pPr>
      <w:r w:rsidRPr="00BE0A21">
        <w:rPr>
          <w:rFonts w:ascii="Times New Roman" w:hAnsi="Times New Roman" w:cs="Times New Roman"/>
          <w:szCs w:val="22"/>
          <w:lang w:val="lv-LV"/>
        </w:rPr>
        <w:t>Lietojot šīs veterinārās zāles, jāņem vērā vispārpieņemtie antibakteriālo zāļu lietošanas pamatprincipi. Kad vien iespējams, zāļu lietošana jāpamato ar ierosinātāju jutības testu rezultātiem. Z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āļ</w:t>
      </w:r>
      <w:r w:rsidRPr="00BE0A21">
        <w:rPr>
          <w:rFonts w:ascii="Times New Roman" w:hAnsi="Times New Roman" w:cs="Times New Roman"/>
          <w:szCs w:val="22"/>
          <w:lang w:val="lv-LV"/>
        </w:rPr>
        <w:t>u lieto</w:t>
      </w:r>
      <w:r w:rsidRPr="00BE0A21">
        <w:rPr>
          <w:rFonts w:ascii="Times New Roman" w:hAnsi="Times New Roman" w:cs="Times New Roman" w:hint="eastAsia"/>
          <w:szCs w:val="22"/>
          <w:lang w:val="lv-LV"/>
        </w:rPr>
        <w:t>š</w:t>
      </w:r>
      <w:r w:rsidRPr="00BE0A21">
        <w:rPr>
          <w:rFonts w:ascii="Times New Roman" w:hAnsi="Times New Roman" w:cs="Times New Roman"/>
          <w:szCs w:val="22"/>
          <w:lang w:val="lv-LV"/>
        </w:rPr>
        <w:t>ana, neiev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ē</w:t>
      </w:r>
      <w:r w:rsidRPr="00BE0A21">
        <w:rPr>
          <w:rFonts w:ascii="Times New Roman" w:hAnsi="Times New Roman" w:cs="Times New Roman"/>
          <w:szCs w:val="22"/>
          <w:lang w:val="lv-LV"/>
        </w:rPr>
        <w:t>rojot z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āļ</w:t>
      </w:r>
      <w:r w:rsidRPr="00BE0A21">
        <w:rPr>
          <w:rFonts w:ascii="Times New Roman" w:hAnsi="Times New Roman" w:cs="Times New Roman"/>
          <w:szCs w:val="22"/>
          <w:lang w:val="lv-LV"/>
        </w:rPr>
        <w:t>u aprakst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 xml:space="preserve"> sniegtos nor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d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ī</w:t>
      </w:r>
      <w:r w:rsidRPr="00BE0A21">
        <w:rPr>
          <w:rFonts w:ascii="Times New Roman" w:hAnsi="Times New Roman" w:cs="Times New Roman"/>
          <w:szCs w:val="22"/>
          <w:lang w:val="lv-LV"/>
        </w:rPr>
        <w:t>jumus, var palielin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t pret amoksicil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ī</w:t>
      </w:r>
      <w:r w:rsidRPr="00BE0A21">
        <w:rPr>
          <w:rFonts w:ascii="Times New Roman" w:hAnsi="Times New Roman" w:cs="Times New Roman"/>
          <w:szCs w:val="22"/>
          <w:lang w:val="lv-LV"/>
        </w:rPr>
        <w:t>nu rezistento bakt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ē</w:t>
      </w:r>
      <w:r w:rsidRPr="00BE0A21">
        <w:rPr>
          <w:rFonts w:ascii="Times New Roman" w:hAnsi="Times New Roman" w:cs="Times New Roman"/>
          <w:szCs w:val="22"/>
          <w:lang w:val="lv-LV"/>
        </w:rPr>
        <w:t>riju pārsvaru un iesp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ē</w:t>
      </w:r>
      <w:r w:rsidRPr="00BE0A21">
        <w:rPr>
          <w:rFonts w:ascii="Times New Roman" w:hAnsi="Times New Roman" w:cs="Times New Roman"/>
          <w:szCs w:val="22"/>
          <w:lang w:val="lv-LV"/>
        </w:rPr>
        <w:t>jam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s krustenisk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s rezistences d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ēļ</w:t>
      </w:r>
      <w:r w:rsidRPr="00BE0A21">
        <w:rPr>
          <w:rFonts w:ascii="Times New Roman" w:hAnsi="Times New Roman" w:cs="Times New Roman"/>
          <w:szCs w:val="22"/>
          <w:lang w:val="lv-LV"/>
        </w:rPr>
        <w:t xml:space="preserve"> samazin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 xml:space="preserve">t 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rst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ēš</w:t>
      </w:r>
      <w:r w:rsidRPr="00BE0A21">
        <w:rPr>
          <w:rFonts w:ascii="Times New Roman" w:hAnsi="Times New Roman" w:cs="Times New Roman"/>
          <w:szCs w:val="22"/>
          <w:lang w:val="lv-LV"/>
        </w:rPr>
        <w:t>anas efektivit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ti, lietojot citus beta-lakt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ma grupas antibakteri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los l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ī</w:t>
      </w:r>
      <w:r w:rsidRPr="00BE0A21">
        <w:rPr>
          <w:rFonts w:ascii="Times New Roman" w:hAnsi="Times New Roman" w:cs="Times New Roman"/>
          <w:szCs w:val="22"/>
          <w:lang w:val="lv-LV"/>
        </w:rPr>
        <w:t>dzek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ļ</w:t>
      </w:r>
      <w:r w:rsidRPr="00BE0A21">
        <w:rPr>
          <w:rFonts w:ascii="Times New Roman" w:hAnsi="Times New Roman" w:cs="Times New Roman"/>
          <w:szCs w:val="22"/>
          <w:lang w:val="lv-LV"/>
        </w:rPr>
        <w:t>us vai citu grupu antibakteri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ā</w:t>
      </w:r>
      <w:r w:rsidRPr="00BE0A21">
        <w:rPr>
          <w:rFonts w:ascii="Times New Roman" w:hAnsi="Times New Roman" w:cs="Times New Roman"/>
          <w:szCs w:val="22"/>
          <w:lang w:val="lv-LV"/>
        </w:rPr>
        <w:t>los l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ī</w:t>
      </w:r>
      <w:r w:rsidRPr="00BE0A21">
        <w:rPr>
          <w:rFonts w:ascii="Times New Roman" w:hAnsi="Times New Roman" w:cs="Times New Roman"/>
          <w:szCs w:val="22"/>
          <w:lang w:val="lv-LV"/>
        </w:rPr>
        <w:t>dzek</w:t>
      </w:r>
      <w:r w:rsidRPr="00BE0A21">
        <w:rPr>
          <w:rFonts w:ascii="Times New Roman" w:hAnsi="Times New Roman" w:cs="Times New Roman" w:hint="eastAsia"/>
          <w:szCs w:val="22"/>
          <w:lang w:val="lv-LV"/>
        </w:rPr>
        <w:t>ļ</w:t>
      </w:r>
      <w:r w:rsidRPr="00BE0A21">
        <w:rPr>
          <w:rFonts w:ascii="Times New Roman" w:hAnsi="Times New Roman" w:cs="Times New Roman"/>
          <w:szCs w:val="22"/>
          <w:lang w:val="lv-LV"/>
        </w:rPr>
        <w:t xml:space="preserve">us. </w:t>
      </w:r>
    </w:p>
    <w:p w14:paraId="16B55A21" w14:textId="77777777" w:rsidR="00444B52" w:rsidRDefault="00444B52" w:rsidP="00A01D5A">
      <w:pPr>
        <w:jc w:val="both"/>
        <w:rPr>
          <w:rFonts w:ascii="Times New Roman" w:hAnsi="Times New Roman" w:cs="Times New Roman"/>
          <w:szCs w:val="22"/>
          <w:u w:val="single"/>
          <w:lang w:val="lv-LV"/>
        </w:rPr>
      </w:pPr>
    </w:p>
    <w:p w14:paraId="464F5956" w14:textId="77777777" w:rsidR="0076020D" w:rsidRDefault="0076020D" w:rsidP="00A01D5A">
      <w:pPr>
        <w:jc w:val="both"/>
        <w:rPr>
          <w:rFonts w:ascii="Times New Roman" w:hAnsi="Times New Roman" w:cs="Times New Roman"/>
          <w:szCs w:val="22"/>
          <w:u w:val="single"/>
          <w:lang w:val="lv-LV"/>
        </w:rPr>
      </w:pPr>
      <w:r w:rsidRPr="00154622">
        <w:rPr>
          <w:rFonts w:ascii="Times New Roman" w:hAnsi="Times New Roman" w:cs="Times New Roman"/>
          <w:szCs w:val="22"/>
          <w:u w:val="single"/>
          <w:lang w:val="lv-LV"/>
        </w:rPr>
        <w:t>Īpaši piesardzības pasākumi, kas jāievēro personai, kura lieto veterinārās zāles dzīvnieku ārstēšanai:</w:t>
      </w:r>
    </w:p>
    <w:p w14:paraId="6D231EAB" w14:textId="77777777" w:rsidR="00444B52" w:rsidRPr="00DA5A6B" w:rsidRDefault="00444B52" w:rsidP="00444B52">
      <w:pPr>
        <w:tabs>
          <w:tab w:val="left" w:pos="567"/>
        </w:tabs>
        <w:jc w:val="both"/>
        <w:rPr>
          <w:rFonts w:ascii="Times New Roman" w:hAnsi="Times New Roman" w:cs="Times New Roman"/>
          <w:szCs w:val="22"/>
          <w:lang w:val="lv-LV"/>
        </w:rPr>
      </w:pPr>
      <w:r w:rsidRPr="002531EF">
        <w:rPr>
          <w:rFonts w:ascii="Times New Roman" w:hAnsi="Times New Roman" w:cs="Times New Roman"/>
          <w:szCs w:val="22"/>
          <w:lang w:val="lv-LV"/>
        </w:rPr>
        <w:t xml:space="preserve">Penicilīni vai cefalosporīni pēc injekcijas, inhalācijas, norīšanas vai saskares ar ādu var izraisīt pastiprinātu jutību (alerģiju). </w:t>
      </w:r>
      <w:r w:rsidRPr="00DA5A6B">
        <w:rPr>
          <w:rFonts w:ascii="Times New Roman" w:hAnsi="Times New Roman" w:cs="Times New Roman"/>
          <w:szCs w:val="22"/>
          <w:lang w:val="lv-LV"/>
        </w:rPr>
        <w:t>Pastiprināta jutība pret penicilīniem var radīt krustenisku reakciju pret cefalosporīniem un otrādi. Pret šīm vielām dažkārt var būt nopietnas alerģiskas reakcijas.</w:t>
      </w:r>
    </w:p>
    <w:p w14:paraId="775C6B92" w14:textId="77777777" w:rsidR="00444B52" w:rsidRPr="00DA5A6B" w:rsidRDefault="00444B52" w:rsidP="00444B52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DA5A6B">
        <w:rPr>
          <w:rFonts w:ascii="Times New Roman" w:hAnsi="Times New Roman" w:cs="Times New Roman"/>
          <w:szCs w:val="22"/>
          <w:lang w:val="lv-LV"/>
        </w:rPr>
        <w:t xml:space="preserve">Personām ar </w:t>
      </w:r>
      <w:r w:rsidR="00067C1A" w:rsidRPr="002531EF">
        <w:rPr>
          <w:rFonts w:ascii="Times New Roman" w:hAnsi="Times New Roman" w:cs="Times New Roman"/>
          <w:szCs w:val="22"/>
          <w:lang w:val="lv-LV"/>
        </w:rPr>
        <w:t>zināmu</w:t>
      </w:r>
      <w:r w:rsidR="00067C1A" w:rsidRPr="00DA5A6B">
        <w:rPr>
          <w:rFonts w:ascii="Times New Roman" w:hAnsi="Times New Roman" w:cs="Times New Roman"/>
          <w:szCs w:val="22"/>
          <w:lang w:val="lv-LV"/>
        </w:rPr>
        <w:t xml:space="preserve"> </w:t>
      </w:r>
      <w:r w:rsidRPr="00DA5A6B">
        <w:rPr>
          <w:rFonts w:ascii="Times New Roman" w:hAnsi="Times New Roman" w:cs="Times New Roman"/>
          <w:szCs w:val="22"/>
          <w:lang w:val="lv-LV"/>
        </w:rPr>
        <w:t>pastiprinātu jutību pret penicilīniem vai cefalosporīniem vajadzētu izvairīties no saskares ar šīm veterinārajām zālēm.</w:t>
      </w:r>
    </w:p>
    <w:p w14:paraId="2F97BE25" w14:textId="77777777" w:rsidR="00D13A68" w:rsidRPr="00DA5A6B" w:rsidRDefault="00D13A68" w:rsidP="00A01D5A">
      <w:pPr>
        <w:jc w:val="both"/>
        <w:rPr>
          <w:rFonts w:ascii="Times New Roman" w:hAnsi="Times New Roman" w:cs="Times New Roman"/>
          <w:szCs w:val="22"/>
          <w:u w:val="single"/>
          <w:lang w:val="lv-LV"/>
        </w:rPr>
      </w:pPr>
    </w:p>
    <w:p w14:paraId="6B665FE4" w14:textId="77777777" w:rsidR="0076020D" w:rsidRDefault="0076020D" w:rsidP="00A01D5A">
      <w:pPr>
        <w:jc w:val="both"/>
        <w:rPr>
          <w:rFonts w:ascii="Times New Roman" w:hAnsi="Times New Roman" w:cs="Times New Roman"/>
          <w:szCs w:val="22"/>
          <w:u w:val="single"/>
          <w:lang w:val="lv-LV" w:eastAsia="en-US"/>
        </w:rPr>
      </w:pPr>
      <w:r w:rsidRPr="0076020D">
        <w:rPr>
          <w:rFonts w:ascii="Times New Roman" w:hAnsi="Times New Roman" w:cs="Times New Roman"/>
          <w:szCs w:val="22"/>
          <w:u w:val="single"/>
          <w:lang w:val="lv-LV" w:eastAsia="en-US"/>
        </w:rPr>
        <w:t>Grūsnība un laktācija:</w:t>
      </w:r>
    </w:p>
    <w:p w14:paraId="51798E7C" w14:textId="77777777" w:rsidR="00D13A68" w:rsidRPr="00154622" w:rsidRDefault="00D13A68" w:rsidP="00D13A68">
      <w:pPr>
        <w:tabs>
          <w:tab w:val="left" w:pos="567"/>
        </w:tabs>
        <w:jc w:val="both"/>
        <w:rPr>
          <w:rFonts w:ascii="Times New Roman" w:hAnsi="Times New Roman" w:cs="Times New Roman"/>
          <w:bCs/>
          <w:szCs w:val="22"/>
          <w:lang w:val="lv-LV"/>
        </w:rPr>
      </w:pPr>
      <w:r w:rsidRPr="00154622">
        <w:rPr>
          <w:rFonts w:ascii="Times New Roman" w:hAnsi="Times New Roman" w:cs="Times New Roman"/>
          <w:szCs w:val="22"/>
          <w:lang w:val="lv-LV"/>
        </w:rPr>
        <w:t>Nav pierādīts šo veterināro zāļu nekaitīgums grūsnības un laktācijas laikā.</w:t>
      </w:r>
    </w:p>
    <w:p w14:paraId="3F5C112D" w14:textId="77777777" w:rsidR="00D13A68" w:rsidRDefault="00D13A68" w:rsidP="00A01D5A">
      <w:pPr>
        <w:jc w:val="both"/>
        <w:rPr>
          <w:rFonts w:ascii="Times New Roman" w:hAnsi="Times New Roman" w:cs="Times New Roman"/>
          <w:szCs w:val="22"/>
          <w:u w:val="single"/>
          <w:lang w:val="lv-LV" w:eastAsia="en-US"/>
        </w:rPr>
      </w:pPr>
    </w:p>
    <w:p w14:paraId="4A0BB4ED" w14:textId="77777777" w:rsidR="0076020D" w:rsidRDefault="0076020D" w:rsidP="00A01D5A">
      <w:pPr>
        <w:jc w:val="both"/>
        <w:rPr>
          <w:rFonts w:ascii="Times New Roman" w:hAnsi="Times New Roman" w:cs="Times New Roman"/>
          <w:szCs w:val="22"/>
          <w:u w:val="single"/>
          <w:lang w:val="lv-LV" w:eastAsia="en-US"/>
        </w:rPr>
      </w:pPr>
      <w:r w:rsidRPr="0076020D">
        <w:rPr>
          <w:rFonts w:ascii="Times New Roman" w:hAnsi="Times New Roman" w:cs="Times New Roman"/>
          <w:szCs w:val="22"/>
          <w:u w:val="single"/>
          <w:lang w:val="lv-LV" w:eastAsia="en-US"/>
        </w:rPr>
        <w:t>Mijiedarbība ar citām zālēm un citi mijiedarbības veidi:</w:t>
      </w:r>
    </w:p>
    <w:p w14:paraId="3E28D02C" w14:textId="06FD6C3C" w:rsidR="00D13A68" w:rsidRPr="003C087B" w:rsidRDefault="00D13A68" w:rsidP="00D13A68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3C087B">
        <w:rPr>
          <w:rFonts w:ascii="Times New Roman" w:hAnsi="Times New Roman" w:cs="Times New Roman"/>
          <w:szCs w:val="22"/>
          <w:lang w:val="lv-LV"/>
        </w:rPr>
        <w:t>Lietojot kopā ar cit</w:t>
      </w:r>
      <w:r w:rsidR="00B06365">
        <w:rPr>
          <w:rFonts w:ascii="Times New Roman" w:hAnsi="Times New Roman" w:cs="Times New Roman"/>
          <w:szCs w:val="22"/>
          <w:lang w:val="lv-LV"/>
        </w:rPr>
        <w:t>ām zālēm</w:t>
      </w:r>
      <w:r w:rsidRPr="003C087B">
        <w:rPr>
          <w:rFonts w:ascii="Times New Roman" w:hAnsi="Times New Roman" w:cs="Times New Roman"/>
          <w:szCs w:val="22"/>
          <w:lang w:val="lv-LV"/>
        </w:rPr>
        <w:t xml:space="preserve">, jāizvairās no </w:t>
      </w:r>
      <w:r w:rsidR="00067C1A" w:rsidRPr="00B743E8">
        <w:rPr>
          <w:rFonts w:ascii="Times New Roman" w:hAnsi="Times New Roman" w:cs="Times New Roman"/>
          <w:szCs w:val="22"/>
          <w:lang w:val="lv-LV"/>
        </w:rPr>
        <w:t>iespējam</w:t>
      </w:r>
      <w:r w:rsidR="00067C1A">
        <w:rPr>
          <w:rFonts w:ascii="Times New Roman" w:hAnsi="Times New Roman" w:cs="Times New Roman"/>
          <w:szCs w:val="22"/>
          <w:lang w:val="lv-LV"/>
        </w:rPr>
        <w:t>as</w:t>
      </w:r>
      <w:r w:rsidR="00067C1A" w:rsidRPr="00B743E8">
        <w:rPr>
          <w:rFonts w:ascii="Times New Roman" w:hAnsi="Times New Roman" w:cs="Times New Roman"/>
          <w:szCs w:val="22"/>
          <w:lang w:val="lv-LV"/>
        </w:rPr>
        <w:t xml:space="preserve"> nesaderīb</w:t>
      </w:r>
      <w:r w:rsidR="00067C1A">
        <w:rPr>
          <w:rFonts w:ascii="Times New Roman" w:hAnsi="Times New Roman" w:cs="Times New Roman"/>
          <w:szCs w:val="22"/>
          <w:lang w:val="lv-LV"/>
        </w:rPr>
        <w:t>as</w:t>
      </w:r>
      <w:r w:rsidRPr="003C087B">
        <w:rPr>
          <w:rFonts w:ascii="Times New Roman" w:hAnsi="Times New Roman" w:cs="Times New Roman"/>
          <w:szCs w:val="22"/>
          <w:lang w:val="lv-LV"/>
        </w:rPr>
        <w:t>. Potenciāls antagonisms ir novērots ar penicilīniem un hemoterapijas līdzekļiem ar bakteriostatisku efektu. Nesaderību var novērot ar sulfonamīdiem, smagajiem metāliem un oksidatīviem līdzekļiem</w:t>
      </w:r>
      <w:r>
        <w:rPr>
          <w:rFonts w:ascii="Times New Roman" w:hAnsi="Times New Roman" w:cs="Times New Roman"/>
          <w:szCs w:val="22"/>
          <w:lang w:val="lv-LV"/>
        </w:rPr>
        <w:t>.</w:t>
      </w:r>
    </w:p>
    <w:p w14:paraId="3EC70D4A" w14:textId="77777777" w:rsidR="00D13A68" w:rsidRDefault="00D13A68" w:rsidP="00A01D5A">
      <w:pPr>
        <w:jc w:val="both"/>
        <w:rPr>
          <w:rFonts w:ascii="Times New Roman" w:hAnsi="Times New Roman" w:cs="Times New Roman"/>
          <w:szCs w:val="22"/>
          <w:u w:val="single"/>
          <w:lang w:val="lv-LV" w:eastAsia="en-US"/>
        </w:rPr>
      </w:pPr>
    </w:p>
    <w:p w14:paraId="75559989" w14:textId="77777777" w:rsidR="0076020D" w:rsidRDefault="0076020D" w:rsidP="00A01D5A">
      <w:pPr>
        <w:jc w:val="both"/>
        <w:rPr>
          <w:rFonts w:ascii="Times New Roman" w:hAnsi="Times New Roman" w:cs="Times New Roman"/>
          <w:szCs w:val="22"/>
          <w:lang w:val="lv-LV" w:eastAsia="en-US"/>
        </w:rPr>
      </w:pPr>
      <w:r w:rsidRPr="0076020D">
        <w:rPr>
          <w:rFonts w:ascii="Times New Roman" w:hAnsi="Times New Roman" w:cs="Times New Roman"/>
          <w:szCs w:val="22"/>
          <w:u w:val="single"/>
          <w:lang w:val="lv-LV" w:eastAsia="en-US"/>
        </w:rPr>
        <w:t>Pārdozēšana (simptomi, rīcība ārkārtas situācijā, antidoti)</w:t>
      </w:r>
      <w:r w:rsidRPr="0076020D">
        <w:rPr>
          <w:rFonts w:ascii="Times New Roman" w:hAnsi="Times New Roman" w:cs="Times New Roman"/>
          <w:szCs w:val="22"/>
          <w:lang w:val="lv-LV" w:eastAsia="en-US"/>
        </w:rPr>
        <w:t>:</w:t>
      </w:r>
    </w:p>
    <w:p w14:paraId="6FF00BD0" w14:textId="432DE75A" w:rsidR="00D13A68" w:rsidRPr="003C087B" w:rsidRDefault="00D13A68" w:rsidP="00DA5A6B">
      <w:pPr>
        <w:tabs>
          <w:tab w:val="left" w:pos="567"/>
          <w:tab w:val="left" w:pos="2268"/>
          <w:tab w:val="left" w:pos="5103"/>
        </w:tabs>
        <w:jc w:val="both"/>
        <w:rPr>
          <w:rFonts w:ascii="Times New Roman" w:hAnsi="Times New Roman" w:cs="Times New Roman"/>
          <w:b/>
          <w:szCs w:val="22"/>
          <w:lang w:val="lv-LV"/>
        </w:rPr>
      </w:pPr>
      <w:r w:rsidRPr="003C087B">
        <w:rPr>
          <w:rFonts w:ascii="Times New Roman" w:hAnsi="Times New Roman" w:cs="Times New Roman"/>
          <w:szCs w:val="22"/>
          <w:lang w:val="lv-LV"/>
        </w:rPr>
        <w:t xml:space="preserve">Pārdozēšanas gadījumā novēro centrālās nervu sistēmas uzbudinājumu un spazmas. Ārstēšana ar </w:t>
      </w:r>
      <w:r w:rsidRPr="003C087B">
        <w:rPr>
          <w:rFonts w:ascii="Times New Roman" w:hAnsi="Times New Roman" w:cs="Times New Roman"/>
          <w:bCs/>
          <w:iCs/>
          <w:szCs w:val="22"/>
          <w:lang w:val="lv-LV"/>
        </w:rPr>
        <w:t>Veyxyl LA 20%</w:t>
      </w:r>
      <w:r w:rsidRPr="003C087B">
        <w:rPr>
          <w:rFonts w:ascii="Times New Roman" w:hAnsi="Times New Roman" w:cs="Times New Roman"/>
          <w:szCs w:val="22"/>
          <w:lang w:val="lv-LV"/>
        </w:rPr>
        <w:t xml:space="preserve"> ir nekavējoties jāpārtrauc un jāpielieto simptomātiskā </w:t>
      </w:r>
      <w:r w:rsidR="00067C1A">
        <w:rPr>
          <w:rFonts w:ascii="Times New Roman" w:hAnsi="Times New Roman" w:cs="Times New Roman"/>
          <w:szCs w:val="22"/>
          <w:lang w:val="lv-LV"/>
        </w:rPr>
        <w:t>ārstēšana</w:t>
      </w:r>
      <w:r w:rsidRPr="003C087B">
        <w:rPr>
          <w:rFonts w:ascii="Times New Roman" w:hAnsi="Times New Roman" w:cs="Times New Roman"/>
          <w:szCs w:val="22"/>
          <w:lang w:val="lv-LV"/>
        </w:rPr>
        <w:t xml:space="preserve"> (benzodiazepīnu vai barbiturātu kā antidotu lietošana)</w:t>
      </w:r>
      <w:r>
        <w:rPr>
          <w:rFonts w:ascii="Times New Roman" w:hAnsi="Times New Roman" w:cs="Times New Roman"/>
          <w:szCs w:val="22"/>
          <w:lang w:val="lv-LV"/>
        </w:rPr>
        <w:t>.</w:t>
      </w:r>
    </w:p>
    <w:p w14:paraId="67020BE4" w14:textId="77777777" w:rsidR="00D13A68" w:rsidRDefault="00D13A68" w:rsidP="00A01D5A">
      <w:pPr>
        <w:jc w:val="both"/>
        <w:rPr>
          <w:rFonts w:ascii="Times New Roman" w:hAnsi="Times New Roman" w:cs="Times New Roman"/>
          <w:szCs w:val="22"/>
          <w:lang w:val="lv-LV" w:eastAsia="en-US"/>
        </w:rPr>
      </w:pPr>
    </w:p>
    <w:p w14:paraId="548F283B" w14:textId="77777777" w:rsidR="0076020D" w:rsidRPr="00154622" w:rsidRDefault="0076020D" w:rsidP="00A01D5A">
      <w:pPr>
        <w:jc w:val="both"/>
        <w:rPr>
          <w:rFonts w:ascii="Times New Roman" w:hAnsi="Times New Roman" w:cs="Times New Roman"/>
          <w:szCs w:val="22"/>
          <w:u w:val="single"/>
          <w:lang w:val="lv-LV"/>
        </w:rPr>
      </w:pPr>
      <w:r w:rsidRPr="0076020D">
        <w:rPr>
          <w:rFonts w:ascii="Times New Roman" w:hAnsi="Times New Roman" w:cs="Times New Roman"/>
          <w:szCs w:val="22"/>
          <w:u w:val="single"/>
          <w:lang w:val="lv-LV" w:eastAsia="en-US"/>
        </w:rPr>
        <w:t>Nesaderība</w:t>
      </w:r>
      <w:r w:rsidRPr="0076020D">
        <w:rPr>
          <w:rFonts w:ascii="Times New Roman" w:hAnsi="Times New Roman" w:cs="Times New Roman"/>
          <w:szCs w:val="22"/>
          <w:lang w:val="lv-LV" w:eastAsia="en-US"/>
        </w:rPr>
        <w:t>:</w:t>
      </w:r>
    </w:p>
    <w:p w14:paraId="130749AF" w14:textId="77777777" w:rsidR="00444B52" w:rsidRPr="003C087B" w:rsidRDefault="00444B52" w:rsidP="00444B52">
      <w:pPr>
        <w:jc w:val="both"/>
        <w:rPr>
          <w:rFonts w:ascii="Times New Roman" w:hAnsi="Times New Roman" w:cs="Times New Roman"/>
          <w:szCs w:val="22"/>
          <w:lang w:val="lv-LV"/>
        </w:rPr>
      </w:pPr>
      <w:r w:rsidRPr="003C087B">
        <w:rPr>
          <w:rFonts w:ascii="Times New Roman" w:hAnsi="Times New Roman" w:cs="Times New Roman"/>
          <w:szCs w:val="22"/>
          <w:lang w:val="lv-LV"/>
        </w:rPr>
        <w:t>Nesaderību var novērot ar sulfonamīdiem, smagajiem metāliem un oksidatīviem līdzekļiem</w:t>
      </w:r>
      <w:r>
        <w:rPr>
          <w:rFonts w:ascii="Times New Roman" w:hAnsi="Times New Roman" w:cs="Times New Roman"/>
          <w:szCs w:val="22"/>
          <w:lang w:val="lv-LV"/>
        </w:rPr>
        <w:t>.</w:t>
      </w:r>
    </w:p>
    <w:p w14:paraId="19A287C8" w14:textId="77777777" w:rsidR="007178CF" w:rsidRDefault="007178CF" w:rsidP="00A01D5A">
      <w:pPr>
        <w:rPr>
          <w:rFonts w:ascii="Times New Roman" w:hAnsi="Times New Roman" w:cs="Times New Roman"/>
          <w:szCs w:val="22"/>
          <w:u w:val="single"/>
          <w:lang w:val="lv-LV"/>
        </w:rPr>
      </w:pPr>
    </w:p>
    <w:p w14:paraId="0B3FC8E5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290AA660" w14:textId="77777777" w:rsidR="00445E6C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lastRenderedPageBreak/>
        <w:t xml:space="preserve">13.  </w:t>
      </w:r>
      <w:r w:rsidR="00445E6C" w:rsidRPr="00445E6C">
        <w:rPr>
          <w:rFonts w:ascii="Times New Roman" w:hAnsi="Times New Roman" w:cs="Times New Roman"/>
          <w:b/>
          <w:bCs/>
          <w:szCs w:val="22"/>
          <w:lang w:val="lv-LV"/>
        </w:rPr>
        <w:t>ĪPAŠI NORĀDĪJUMI NEIZLIETOTU VETERINĀRO ZĀĻU VAI TO ATKRITUMU IZNĪCINĀŠANAI</w:t>
      </w:r>
      <w:r w:rsidR="00445E6C" w:rsidDel="00445E6C">
        <w:rPr>
          <w:rFonts w:ascii="Times New Roman" w:hAnsi="Times New Roman" w:cs="Times New Roman"/>
          <w:b/>
          <w:bCs/>
          <w:szCs w:val="22"/>
          <w:lang w:val="lv-LV"/>
        </w:rPr>
        <w:t xml:space="preserve"> </w:t>
      </w:r>
    </w:p>
    <w:p w14:paraId="189D78A9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</w:p>
    <w:p w14:paraId="6C2A9F51" w14:textId="77777777" w:rsidR="00445E6C" w:rsidRDefault="00445E6C" w:rsidP="00DA5A6B">
      <w:pPr>
        <w:jc w:val="both"/>
        <w:rPr>
          <w:rFonts w:ascii="Times New Roman" w:hAnsi="Times New Roman" w:cs="Times New Roman"/>
          <w:color w:val="000000"/>
          <w:szCs w:val="20"/>
          <w:lang w:val="lv-LV" w:eastAsia="en-US"/>
        </w:rPr>
      </w:pPr>
      <w:r w:rsidRPr="00445E6C">
        <w:rPr>
          <w:rFonts w:ascii="Times New Roman" w:hAnsi="Times New Roman" w:cs="Times New Roman"/>
          <w:noProof/>
          <w:szCs w:val="20"/>
          <w:lang w:val="lv-LV" w:eastAsia="en-US"/>
        </w:rPr>
        <w:t>Jebkuras neizlietotas veterinārās zāles vai to atkritumus nedrīkst iznīcināt,</w:t>
      </w:r>
      <w:r w:rsidRPr="00445E6C">
        <w:rPr>
          <w:rFonts w:ascii="Times New Roman" w:hAnsi="Times New Roman" w:cs="Times New Roman"/>
          <w:color w:val="000000"/>
          <w:szCs w:val="20"/>
          <w:lang w:val="lv-LV" w:eastAsia="en-US"/>
        </w:rPr>
        <w:t xml:space="preserve"> izmantojot kanalizāciju vai kopā ar sadzīves atkritumiem. </w:t>
      </w:r>
    </w:p>
    <w:p w14:paraId="3A2EE1E9" w14:textId="77777777" w:rsidR="007178CF" w:rsidRDefault="007178CF" w:rsidP="00A01D5A">
      <w:pPr>
        <w:rPr>
          <w:rFonts w:ascii="Times New Roman" w:hAnsi="Times New Roman" w:cs="Times New Roman"/>
          <w:color w:val="000000"/>
          <w:szCs w:val="22"/>
          <w:lang w:val="lv-LV"/>
        </w:rPr>
      </w:pPr>
    </w:p>
    <w:p w14:paraId="339D684F" w14:textId="77777777" w:rsidR="00A01D5A" w:rsidRDefault="00A01D5A" w:rsidP="00A01D5A">
      <w:pPr>
        <w:rPr>
          <w:rFonts w:ascii="Times New Roman" w:hAnsi="Times New Roman" w:cs="Times New Roman"/>
          <w:szCs w:val="22"/>
          <w:lang w:val="lv-LV"/>
        </w:rPr>
      </w:pPr>
    </w:p>
    <w:p w14:paraId="38B76F2C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lv-LV"/>
        </w:rPr>
      </w:pPr>
      <w:r>
        <w:rPr>
          <w:rFonts w:ascii="Times New Roman" w:hAnsi="Times New Roman" w:cs="Times New Roman"/>
          <w:b/>
          <w:bCs/>
          <w:szCs w:val="22"/>
          <w:lang w:val="lv-LV"/>
        </w:rPr>
        <w:t>14.  DATUMS, KAD LIETOŠANAS INSTRUKCIJA PĒDĒJO REIZI TIKA PĀRSKATĪTA</w:t>
      </w:r>
    </w:p>
    <w:p w14:paraId="7030C7F8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lv-LV"/>
        </w:rPr>
      </w:pPr>
    </w:p>
    <w:p w14:paraId="1A745EE5" w14:textId="77777777" w:rsidR="00067C1A" w:rsidRPr="00922E10" w:rsidRDefault="00067C1A" w:rsidP="00067C1A">
      <w:pPr>
        <w:tabs>
          <w:tab w:val="left" w:pos="567"/>
          <w:tab w:val="left" w:pos="3969"/>
        </w:tabs>
        <w:rPr>
          <w:rFonts w:ascii="Times New Roman" w:hAnsi="Times New Roman" w:cs="Times New Roman"/>
          <w:szCs w:val="22"/>
          <w:lang w:val="lv-LV"/>
        </w:rPr>
      </w:pPr>
      <w:r w:rsidRPr="00922E10">
        <w:rPr>
          <w:rFonts w:ascii="Times New Roman" w:hAnsi="Times New Roman" w:cs="Times New Roman"/>
          <w:szCs w:val="22"/>
          <w:lang w:val="lv-LV"/>
        </w:rPr>
        <w:t>10/2020</w:t>
      </w:r>
    </w:p>
    <w:p w14:paraId="4954143D" w14:textId="77777777" w:rsidR="00A01D5A" w:rsidRDefault="00A01D5A" w:rsidP="00A01D5A">
      <w:pPr>
        <w:rPr>
          <w:rFonts w:ascii="Times New Roman" w:hAnsi="Times New Roman" w:cs="Times New Roman"/>
          <w:szCs w:val="22"/>
          <w:lang w:val="it-IT"/>
        </w:rPr>
      </w:pPr>
    </w:p>
    <w:p w14:paraId="3999399C" w14:textId="77777777" w:rsidR="007178CF" w:rsidRDefault="007178CF" w:rsidP="00A01D5A">
      <w:pPr>
        <w:rPr>
          <w:rFonts w:ascii="Times New Roman" w:hAnsi="Times New Roman" w:cs="Times New Roman"/>
          <w:szCs w:val="22"/>
          <w:lang w:val="it-IT"/>
        </w:rPr>
      </w:pPr>
    </w:p>
    <w:p w14:paraId="4643DA28" w14:textId="77777777" w:rsidR="00A01D5A" w:rsidRDefault="00A01D5A" w:rsidP="00A01D5A">
      <w:pPr>
        <w:rPr>
          <w:rFonts w:ascii="Times New Roman" w:hAnsi="Times New Roman" w:cs="Times New Roman"/>
          <w:b/>
          <w:bCs/>
          <w:szCs w:val="22"/>
          <w:lang w:val="it-IT"/>
        </w:rPr>
      </w:pPr>
      <w:r>
        <w:rPr>
          <w:rFonts w:ascii="Times New Roman" w:hAnsi="Times New Roman" w:cs="Times New Roman"/>
          <w:b/>
          <w:bCs/>
          <w:szCs w:val="22"/>
          <w:lang w:val="it-IT"/>
        </w:rPr>
        <w:t>15.  CITA INFORMĀCIJA</w:t>
      </w:r>
    </w:p>
    <w:p w14:paraId="34150B1F" w14:textId="77777777" w:rsidR="00A01D5A" w:rsidRDefault="00A01D5A" w:rsidP="00A01D5A">
      <w:pPr>
        <w:rPr>
          <w:rFonts w:ascii="Times New Roman" w:hAnsi="Times New Roman" w:cs="Times New Roman"/>
          <w:b/>
          <w:szCs w:val="22"/>
          <w:lang w:val="it-IT"/>
        </w:rPr>
      </w:pPr>
    </w:p>
    <w:p w14:paraId="26586EE4" w14:textId="77777777" w:rsidR="00A01D5A" w:rsidRDefault="00A01D5A" w:rsidP="00A01D5A">
      <w:pPr>
        <w:pStyle w:val="Vorgabetext"/>
        <w:widowControl/>
        <w:autoSpaceDE/>
        <w:autoSpaceDN/>
        <w:spacing w:line="240" w:lineRule="auto"/>
        <w:rPr>
          <w:rFonts w:ascii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Cs/>
          <w:sz w:val="22"/>
          <w:szCs w:val="22"/>
          <w:lang w:val="it-IT"/>
        </w:rPr>
        <w:t>Recepšu veterinārās zāles.</w:t>
      </w:r>
    </w:p>
    <w:p w14:paraId="29A2F75F" w14:textId="77777777" w:rsidR="00A01D5A" w:rsidRDefault="00A01D5A" w:rsidP="00A01D5A">
      <w:pPr>
        <w:jc w:val="both"/>
        <w:rPr>
          <w:rFonts w:ascii="Times New Roman" w:hAnsi="Times New Roman" w:cs="Times New Roman"/>
          <w:szCs w:val="22"/>
          <w:lang w:val="it-IT"/>
        </w:rPr>
      </w:pPr>
    </w:p>
    <w:p w14:paraId="6BF8C97B" w14:textId="77777777" w:rsidR="00A01D5A" w:rsidRDefault="00A01D5A" w:rsidP="00A01D5A">
      <w:pPr>
        <w:jc w:val="both"/>
        <w:rPr>
          <w:rFonts w:ascii="Times New Roman" w:hAnsi="Times New Roman" w:cs="Times New Roman"/>
          <w:szCs w:val="22"/>
          <w:lang w:val="it-IT"/>
        </w:rPr>
      </w:pPr>
      <w:r>
        <w:rPr>
          <w:rFonts w:ascii="Times New Roman" w:hAnsi="Times New Roman" w:cs="Times New Roman"/>
          <w:szCs w:val="22"/>
          <w:lang w:val="it-IT"/>
        </w:rPr>
        <w:t xml:space="preserve">Stikla </w:t>
      </w:r>
      <w:r w:rsidR="003B0402">
        <w:rPr>
          <w:rFonts w:ascii="Times New Roman" w:hAnsi="Times New Roman" w:cs="Times New Roman"/>
          <w:szCs w:val="22"/>
          <w:lang w:val="it-IT"/>
        </w:rPr>
        <w:t xml:space="preserve">flakoni </w:t>
      </w:r>
      <w:r>
        <w:rPr>
          <w:rFonts w:ascii="Times New Roman" w:hAnsi="Times New Roman" w:cs="Times New Roman"/>
          <w:szCs w:val="22"/>
          <w:lang w:val="it-IT"/>
        </w:rPr>
        <w:t>pa</w:t>
      </w:r>
      <w:r w:rsidR="00445E6C">
        <w:rPr>
          <w:rFonts w:ascii="Times New Roman" w:hAnsi="Times New Roman" w:cs="Times New Roman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Cs w:val="22"/>
          <w:lang w:val="it-IT"/>
        </w:rPr>
        <w:t>100 ml</w:t>
      </w:r>
    </w:p>
    <w:p w14:paraId="425668F2" w14:textId="77777777" w:rsidR="00BB34B3" w:rsidRDefault="00A01D5A" w:rsidP="00A01D5A">
      <w:r>
        <w:rPr>
          <w:rFonts w:ascii="Times New Roman" w:hAnsi="Times New Roman" w:cs="Times New Roman"/>
          <w:szCs w:val="22"/>
          <w:lang w:val="it-IT"/>
        </w:rPr>
        <w:t>Iepakojums: 1 x 100 ml</w:t>
      </w:r>
    </w:p>
    <w:sectPr w:rsidR="00BB34B3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A44B" w14:textId="77777777" w:rsidR="002745A6" w:rsidRDefault="002745A6">
      <w:r>
        <w:separator/>
      </w:r>
    </w:p>
  </w:endnote>
  <w:endnote w:type="continuationSeparator" w:id="0">
    <w:p w14:paraId="45CF1A77" w14:textId="77777777" w:rsidR="002745A6" w:rsidRDefault="002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F76A" w14:textId="77777777" w:rsidR="00A01D5A" w:rsidRDefault="00A01D5A" w:rsidP="001B6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B63A3" w14:textId="77777777" w:rsidR="00A01D5A" w:rsidRDefault="00A01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2D95" w14:textId="77777777" w:rsidR="00A01D5A" w:rsidRDefault="00A01D5A" w:rsidP="001B6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7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B92E2" w14:textId="77777777" w:rsidR="00A01D5A" w:rsidRDefault="00A01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6C920" w14:textId="77777777" w:rsidR="002745A6" w:rsidRDefault="002745A6">
      <w:r>
        <w:separator/>
      </w:r>
    </w:p>
  </w:footnote>
  <w:footnote w:type="continuationSeparator" w:id="0">
    <w:p w14:paraId="44CDC103" w14:textId="77777777" w:rsidR="002745A6" w:rsidRDefault="0027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DD6"/>
    <w:multiLevelType w:val="hybridMultilevel"/>
    <w:tmpl w:val="C20009F4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5227186"/>
    <w:multiLevelType w:val="hybridMultilevel"/>
    <w:tmpl w:val="43C8AF9C"/>
    <w:lvl w:ilvl="0" w:tplc="A9A46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5A"/>
    <w:rsid w:val="00067C1A"/>
    <w:rsid w:val="000A6139"/>
    <w:rsid w:val="000B6A9D"/>
    <w:rsid w:val="00104C99"/>
    <w:rsid w:val="001428A5"/>
    <w:rsid w:val="00154622"/>
    <w:rsid w:val="001B6A72"/>
    <w:rsid w:val="002131F2"/>
    <w:rsid w:val="002165D8"/>
    <w:rsid w:val="002531EF"/>
    <w:rsid w:val="002745A6"/>
    <w:rsid w:val="00307227"/>
    <w:rsid w:val="003524EB"/>
    <w:rsid w:val="003B0402"/>
    <w:rsid w:val="00415810"/>
    <w:rsid w:val="0042491E"/>
    <w:rsid w:val="00444B52"/>
    <w:rsid w:val="00445B38"/>
    <w:rsid w:val="00445E6C"/>
    <w:rsid w:val="004A51AF"/>
    <w:rsid w:val="005116C3"/>
    <w:rsid w:val="005A2F6A"/>
    <w:rsid w:val="005E3909"/>
    <w:rsid w:val="00716A8B"/>
    <w:rsid w:val="007178CF"/>
    <w:rsid w:val="0076020D"/>
    <w:rsid w:val="00760E71"/>
    <w:rsid w:val="0077772A"/>
    <w:rsid w:val="00782E55"/>
    <w:rsid w:val="008425C3"/>
    <w:rsid w:val="008821FA"/>
    <w:rsid w:val="009548FB"/>
    <w:rsid w:val="009D60CC"/>
    <w:rsid w:val="00A01D5A"/>
    <w:rsid w:val="00A04190"/>
    <w:rsid w:val="00AB31A8"/>
    <w:rsid w:val="00AD7B20"/>
    <w:rsid w:val="00B06365"/>
    <w:rsid w:val="00B2189E"/>
    <w:rsid w:val="00BB34B3"/>
    <w:rsid w:val="00D048A6"/>
    <w:rsid w:val="00D13A68"/>
    <w:rsid w:val="00D25466"/>
    <w:rsid w:val="00DA5A6B"/>
    <w:rsid w:val="00DC12A3"/>
    <w:rsid w:val="00E415E7"/>
    <w:rsid w:val="00EE32D6"/>
    <w:rsid w:val="00F43C92"/>
    <w:rsid w:val="00FB0BB2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B310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D5A"/>
    <w:rPr>
      <w:rFonts w:ascii="Arial" w:hAnsi="Arial" w:cs="Arial"/>
      <w:sz w:val="22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01D5A"/>
    <w:rPr>
      <w:rFonts w:cs="Times New Roman"/>
      <w:sz w:val="20"/>
      <w:szCs w:val="20"/>
    </w:rPr>
  </w:style>
  <w:style w:type="paragraph" w:styleId="BodyText">
    <w:name w:val="Body Text"/>
    <w:basedOn w:val="Normal"/>
    <w:semiHidden/>
    <w:rsid w:val="00A01D5A"/>
    <w:pPr>
      <w:tabs>
        <w:tab w:val="left" w:pos="851"/>
        <w:tab w:val="left" w:pos="1701"/>
      </w:tabs>
      <w:jc w:val="both"/>
    </w:pPr>
    <w:rPr>
      <w:rFonts w:cs="Times New Roman"/>
      <w:bCs/>
      <w:szCs w:val="20"/>
    </w:rPr>
  </w:style>
  <w:style w:type="paragraph" w:styleId="BodyText2">
    <w:name w:val="Body Text 2"/>
    <w:basedOn w:val="Normal"/>
    <w:semiHidden/>
    <w:rsid w:val="00A01D5A"/>
    <w:pPr>
      <w:jc w:val="both"/>
    </w:pPr>
    <w:rPr>
      <w:rFonts w:cs="Times New Roman"/>
      <w:sz w:val="20"/>
      <w:szCs w:val="20"/>
    </w:rPr>
  </w:style>
  <w:style w:type="paragraph" w:styleId="BodyText3">
    <w:name w:val="Body Text 3"/>
    <w:basedOn w:val="Normal"/>
    <w:semiHidden/>
    <w:rsid w:val="00A01D5A"/>
    <w:pPr>
      <w:tabs>
        <w:tab w:val="left" w:pos="1276"/>
      </w:tabs>
    </w:pPr>
    <w:rPr>
      <w:rFonts w:cs="Times New Roman"/>
      <w:bCs/>
      <w:i/>
      <w:iCs/>
      <w:szCs w:val="20"/>
    </w:rPr>
  </w:style>
  <w:style w:type="paragraph" w:styleId="PlainText">
    <w:name w:val="Plain Text"/>
    <w:basedOn w:val="Normal"/>
    <w:semiHidden/>
    <w:rsid w:val="00A01D5A"/>
    <w:rPr>
      <w:rFonts w:ascii="Courier New" w:hAnsi="Courier New" w:cs="Times New Roman"/>
      <w:sz w:val="20"/>
      <w:szCs w:val="20"/>
    </w:rPr>
  </w:style>
  <w:style w:type="paragraph" w:customStyle="1" w:styleId="Vorgabetext">
    <w:name w:val="Vorgabetext"/>
    <w:basedOn w:val="Normal"/>
    <w:rsid w:val="00A01D5A"/>
    <w:pPr>
      <w:widowControl w:val="0"/>
      <w:autoSpaceDE w:val="0"/>
      <w:autoSpaceDN w:val="0"/>
      <w:spacing w:line="240" w:lineRule="exact"/>
    </w:pPr>
    <w:rPr>
      <w:rFonts w:ascii="Courier New" w:hAnsi="Courier New" w:cs="Courier New"/>
      <w:sz w:val="24"/>
      <w:lang w:val="en-US"/>
    </w:rPr>
  </w:style>
  <w:style w:type="paragraph" w:styleId="Footer">
    <w:name w:val="footer"/>
    <w:basedOn w:val="Normal"/>
    <w:rsid w:val="00A01D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1D5A"/>
  </w:style>
  <w:style w:type="paragraph" w:styleId="BalloonText">
    <w:name w:val="Balloon Text"/>
    <w:basedOn w:val="Normal"/>
    <w:semiHidden/>
    <w:rsid w:val="00A0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D5A"/>
    <w:rPr>
      <w:rFonts w:ascii="Arial" w:hAnsi="Arial" w:cs="Arial"/>
      <w:sz w:val="22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01D5A"/>
    <w:rPr>
      <w:rFonts w:cs="Times New Roman"/>
      <w:sz w:val="20"/>
      <w:szCs w:val="20"/>
    </w:rPr>
  </w:style>
  <w:style w:type="paragraph" w:styleId="BodyText">
    <w:name w:val="Body Text"/>
    <w:basedOn w:val="Normal"/>
    <w:semiHidden/>
    <w:rsid w:val="00A01D5A"/>
    <w:pPr>
      <w:tabs>
        <w:tab w:val="left" w:pos="851"/>
        <w:tab w:val="left" w:pos="1701"/>
      </w:tabs>
      <w:jc w:val="both"/>
    </w:pPr>
    <w:rPr>
      <w:rFonts w:cs="Times New Roman"/>
      <w:bCs/>
      <w:szCs w:val="20"/>
    </w:rPr>
  </w:style>
  <w:style w:type="paragraph" w:styleId="BodyText2">
    <w:name w:val="Body Text 2"/>
    <w:basedOn w:val="Normal"/>
    <w:semiHidden/>
    <w:rsid w:val="00A01D5A"/>
    <w:pPr>
      <w:jc w:val="both"/>
    </w:pPr>
    <w:rPr>
      <w:rFonts w:cs="Times New Roman"/>
      <w:sz w:val="20"/>
      <w:szCs w:val="20"/>
    </w:rPr>
  </w:style>
  <w:style w:type="paragraph" w:styleId="BodyText3">
    <w:name w:val="Body Text 3"/>
    <w:basedOn w:val="Normal"/>
    <w:semiHidden/>
    <w:rsid w:val="00A01D5A"/>
    <w:pPr>
      <w:tabs>
        <w:tab w:val="left" w:pos="1276"/>
      </w:tabs>
    </w:pPr>
    <w:rPr>
      <w:rFonts w:cs="Times New Roman"/>
      <w:bCs/>
      <w:i/>
      <w:iCs/>
      <w:szCs w:val="20"/>
    </w:rPr>
  </w:style>
  <w:style w:type="paragraph" w:styleId="PlainText">
    <w:name w:val="Plain Text"/>
    <w:basedOn w:val="Normal"/>
    <w:semiHidden/>
    <w:rsid w:val="00A01D5A"/>
    <w:rPr>
      <w:rFonts w:ascii="Courier New" w:hAnsi="Courier New" w:cs="Times New Roman"/>
      <w:sz w:val="20"/>
      <w:szCs w:val="20"/>
    </w:rPr>
  </w:style>
  <w:style w:type="paragraph" w:customStyle="1" w:styleId="Vorgabetext">
    <w:name w:val="Vorgabetext"/>
    <w:basedOn w:val="Normal"/>
    <w:rsid w:val="00A01D5A"/>
    <w:pPr>
      <w:widowControl w:val="0"/>
      <w:autoSpaceDE w:val="0"/>
      <w:autoSpaceDN w:val="0"/>
      <w:spacing w:line="240" w:lineRule="exact"/>
    </w:pPr>
    <w:rPr>
      <w:rFonts w:ascii="Courier New" w:hAnsi="Courier New" w:cs="Courier New"/>
      <w:sz w:val="24"/>
      <w:lang w:val="en-US"/>
    </w:rPr>
  </w:style>
  <w:style w:type="paragraph" w:styleId="Footer">
    <w:name w:val="footer"/>
    <w:basedOn w:val="Normal"/>
    <w:rsid w:val="00A01D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1D5A"/>
  </w:style>
  <w:style w:type="paragraph" w:styleId="BalloonText">
    <w:name w:val="Balloon Text"/>
    <w:basedOn w:val="Normal"/>
    <w:semiHidden/>
    <w:rsid w:val="00A0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4264</Words>
  <Characters>2432</Characters>
  <Application>Microsoft Office Word</Application>
  <DocSecurity>0</DocSecurity>
  <Lines>20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>LIETOŠANAS INSTRUKCIJA</vt:lpstr>
      <vt:lpstr>LIETOŠANAS INSTRUKCIJA</vt:lpstr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Evelina</cp:lastModifiedBy>
  <cp:revision>2</cp:revision>
  <cp:lastPrinted>1970-01-01T00:00:00Z</cp:lastPrinted>
  <dcterms:created xsi:type="dcterms:W3CDTF">2023-12-04T08:19:00Z</dcterms:created>
  <dcterms:modified xsi:type="dcterms:W3CDTF">2023-12-04T08:19:00Z</dcterms:modified>
</cp:coreProperties>
</file>